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1040" w:lineRule="exact"/>
        <w:rPr>
          <w:rFonts w:hint="eastAsia" w:ascii="黑体" w:hAnsi="黑体" w:eastAsia="黑体"/>
          <w:b/>
          <w:color w:val="auto"/>
          <w:sz w:val="60"/>
          <w:szCs w:val="60"/>
          <w:highlight w:val="none"/>
        </w:rPr>
      </w:pPr>
      <w:r>
        <w:rPr>
          <w:rFonts w:hint="eastAsia" w:ascii="黑体" w:hAnsi="黑体" w:eastAsia="黑体"/>
          <w:b/>
          <w:color w:val="auto"/>
          <w:sz w:val="60"/>
          <w:szCs w:val="60"/>
          <w:highlight w:val="none"/>
        </w:rPr>
      </w:r>
      <w:r/>
    </w:p>
    <w:p>
      <w:pPr>
        <w:jc w:val="center"/>
        <w:spacing w:line="1040" w:lineRule="exact"/>
        <w:rPr>
          <w:rFonts w:hint="eastAsia" w:ascii="黑体" w:hAnsi="黑体" w:eastAsia="黑体"/>
          <w:b/>
          <w:color w:val="auto"/>
          <w:sz w:val="60"/>
          <w:szCs w:val="60"/>
          <w:highlight w:val="none"/>
        </w:rPr>
      </w:pPr>
      <w:r>
        <w:rPr>
          <w:rFonts w:hint="eastAsia" w:ascii="黑体" w:hAnsi="黑体" w:eastAsia="黑体"/>
          <w:b/>
          <w:color w:val="auto"/>
          <w:sz w:val="60"/>
          <w:szCs w:val="60"/>
          <w:highlight w:val="none"/>
        </w:rPr>
        <w:t xml:space="preserve">“苏采云全流程不见面交易”</w:t>
      </w:r>
      <w:r/>
    </w:p>
    <w:p>
      <w:pPr>
        <w:jc w:val="center"/>
        <w:spacing w:line="1040" w:lineRule="exact"/>
        <w:rPr>
          <w:rFonts w:hint="eastAsia" w:ascii="黑体" w:hAnsi="黑体" w:eastAsia="黑体" w:cs="Times New Roman"/>
          <w:b/>
          <w:color w:val="auto"/>
          <w:sz w:val="60"/>
          <w:szCs w:val="60"/>
          <w:highlight w:val="none"/>
        </w:rPr>
      </w:pPr>
      <w:r>
        <w:rPr>
          <w:rFonts w:hint="eastAsia" w:ascii="黑体" w:hAnsi="黑体" w:eastAsia="黑体" w:cs="Times New Roman"/>
          <w:b/>
          <w:color w:val="auto"/>
          <w:sz w:val="60"/>
          <w:szCs w:val="60"/>
          <w:highlight w:val="none"/>
        </w:rPr>
        <w:t xml:space="preserve">公开招标文件</w:t>
      </w:r>
      <w:r/>
    </w:p>
    <w:p>
      <w:pPr>
        <w:jc w:val="both"/>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jc w:val="both"/>
        <w:rPr>
          <w:rFonts w:hint="eastAsia" w:ascii="黑体" w:hAnsi="黑体" w:eastAsia="黑体"/>
          <w:b/>
          <w:color w:val="auto"/>
          <w:sz w:val="32"/>
          <w:highlight w:val="none"/>
        </w:rPr>
      </w:pPr>
      <w:r>
        <w:rPr>
          <w:rFonts w:hint="eastAsia" w:ascii="黑体" w:hAnsi="黑体" w:eastAsia="黑体"/>
          <w:b/>
          <w:color w:val="auto"/>
          <w:sz w:val="32"/>
          <w:highlight w:val="none"/>
        </w:rPr>
      </w:r>
      <w:r/>
    </w:p>
    <w:p>
      <w:pPr>
        <w:jc w:val="both"/>
        <w:rPr>
          <w:rFonts w:hint="eastAsia" w:ascii="黑体" w:hAnsi="黑体" w:eastAsia="黑体"/>
          <w:b/>
          <w:color w:val="auto"/>
          <w:sz w:val="32"/>
          <w:highlight w:val="none"/>
        </w:rPr>
      </w:pPr>
      <w:r>
        <w:rPr>
          <w:rFonts w:hint="eastAsia" w:ascii="黑体" w:hAnsi="黑体" w:eastAsia="黑体"/>
          <w:b/>
          <w:color w:val="auto"/>
          <w:sz w:val="32"/>
          <w:highlight w:val="none"/>
        </w:rPr>
      </w:r>
      <w:r/>
    </w:p>
    <w:p>
      <w:pPr>
        <w:jc w:val="center"/>
        <w:spacing w:line="760" w:lineRule="exact"/>
        <w:rPr>
          <w:rFonts w:ascii="黑体" w:hAnsi="黑体" w:eastAsia="黑体"/>
          <w:b/>
          <w:color w:val="auto"/>
          <w:sz w:val="36"/>
          <w:szCs w:val="36"/>
          <w:highlight w:val="none"/>
          <w:lang w:val="en-US" w:eastAsia="zh-CN"/>
        </w:rPr>
      </w:pPr>
      <w:r>
        <w:rPr>
          <w:rFonts w:hint="eastAsia" w:ascii="黑体" w:hAnsi="黑体" w:eastAsia="黑体"/>
          <w:b/>
          <w:color w:val="auto"/>
          <w:sz w:val="36"/>
          <w:szCs w:val="36"/>
          <w:highlight w:val="none"/>
        </w:rPr>
        <w:t xml:space="preserve">项目名称</w:t>
      </w:r>
      <w:r>
        <w:rPr>
          <w:rFonts w:hint="eastAsia" w:ascii="黑体" w:hAnsi="黑体" w:eastAsia="黑体"/>
          <w:b/>
          <w:color w:val="auto"/>
          <w:sz w:val="36"/>
          <w:szCs w:val="36"/>
          <w:highlight w:val="none"/>
          <w:lang w:eastAsia="zh-CN"/>
        </w:rPr>
        <w:t xml:space="preserve">：</w:t>
      </w:r>
      <w:r>
        <w:rPr>
          <w:rFonts w:hint="eastAsia" w:ascii="黑体" w:hAnsi="黑体" w:eastAsia="黑体"/>
          <w:b/>
          <w:color w:val="auto"/>
          <w:sz w:val="36"/>
          <w:szCs w:val="36"/>
          <w:highlight w:val="none"/>
          <w:lang w:val="en-US" w:eastAsia="zh-CN"/>
        </w:rPr>
        <w:t xml:space="preserve">淮安市博物馆展厅及文物保护设备采购项目</w:t>
      </w:r>
      <w:r/>
    </w:p>
    <w:p>
      <w:pPr>
        <w:jc w:val="both"/>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spacing w:line="760" w:lineRule="exact"/>
        <w:rPr>
          <w:rFonts w:hint="eastAsia" w:ascii="黑体" w:hAnsi="黑体" w:eastAsia="黑体"/>
          <w:b/>
          <w:color w:val="auto"/>
          <w:sz w:val="36"/>
          <w:highlight w:val="none"/>
          <w:lang w:eastAsia="zh-CN"/>
        </w:rPr>
      </w:pPr>
      <w:r>
        <w:rPr>
          <w:rFonts w:hint="eastAsia" w:ascii="黑体" w:hAnsi="黑体" w:eastAsia="黑体"/>
          <w:b/>
          <w:color w:val="auto"/>
          <w:sz w:val="36"/>
          <w:highlight w:val="none"/>
          <w:lang w:eastAsia="zh-CN"/>
        </w:rPr>
      </w:r>
      <w:r/>
    </w:p>
    <w:p>
      <w:pPr>
        <w:spacing w:line="760" w:lineRule="exact"/>
        <w:rPr>
          <w:rFonts w:hint="eastAsia" w:ascii="黑体" w:hAnsi="黑体" w:eastAsia="黑体"/>
          <w:b/>
          <w:color w:val="auto"/>
          <w:sz w:val="36"/>
          <w:highlight w:val="none"/>
          <w:lang w:eastAsia="zh-CN"/>
        </w:rPr>
      </w:pPr>
      <w:r>
        <w:rPr>
          <w:rFonts w:hint="eastAsia" w:ascii="黑体" w:hAnsi="黑体" w:eastAsia="黑体"/>
          <w:b/>
          <w:color w:val="auto"/>
          <w:sz w:val="36"/>
          <w:highlight w:val="none"/>
          <w:lang w:eastAsia="zh-CN"/>
        </w:rPr>
      </w:r>
      <w:r/>
    </w:p>
    <w:p>
      <w:pPr>
        <w:ind w:firstLine="361"/>
        <w:jc w:val="both"/>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：JSZC-320800-HAWS-G2025-0007</w:t>
      </w:r>
      <w:r/>
    </w:p>
    <w:p>
      <w:pPr>
        <w:ind w:left="-359" w:firstLine="360"/>
        <w:jc w:val="both"/>
        <w:rPr>
          <w:rFonts w:ascii="黑体" w:hAnsi="黑体" w:eastAsia="黑体"/>
          <w:b/>
          <w:color w:val="auto"/>
          <w:sz w:val="32"/>
          <w:highlight w:val="none"/>
        </w:rPr>
      </w:pPr>
      <w:r>
        <w:rPr>
          <w:rFonts w:ascii="黑体" w:hAnsi="黑体" w:eastAsia="黑体"/>
          <w:b/>
          <w:color w:val="auto"/>
          <w:sz w:val="32"/>
          <w:highlight w:val="none"/>
        </w:rPr>
      </w:r>
      <w:r/>
    </w:p>
    <w:p>
      <w:pPr>
        <w:jc w:val="both"/>
        <w:rPr>
          <w:rFonts w:ascii="黑体" w:hAnsi="黑体" w:eastAsia="黑体"/>
          <w:b/>
          <w:color w:val="auto"/>
          <w:sz w:val="32"/>
          <w:highlight w:val="none"/>
        </w:rPr>
      </w:pPr>
      <w:r>
        <w:rPr>
          <w:rFonts w:ascii="黑体" w:hAnsi="黑体" w:eastAsia="黑体"/>
          <w:b/>
          <w:color w:val="auto"/>
          <w:sz w:val="32"/>
          <w:highlight w:val="none"/>
        </w:rPr>
      </w:r>
      <w:r/>
    </w:p>
    <w:p>
      <w:pPr>
        <w:jc w:val="both"/>
        <w:rPr>
          <w:rFonts w:ascii="黑体" w:hAnsi="黑体" w:eastAsia="黑体"/>
          <w:b/>
          <w:color w:val="auto"/>
          <w:sz w:val="32"/>
          <w:highlight w:val="none"/>
        </w:rPr>
      </w:pPr>
      <w:r>
        <w:rPr>
          <w:rFonts w:ascii="黑体" w:hAnsi="黑体" w:eastAsia="黑体"/>
          <w:b/>
          <w:color w:val="auto"/>
          <w:sz w:val="32"/>
          <w:highlight w:val="none"/>
        </w:rPr>
      </w:r>
      <w:r/>
    </w:p>
    <w:p>
      <w:pPr>
        <w:jc w:val="both"/>
        <w:rPr>
          <w:rFonts w:hint="eastAsia" w:ascii="黑体" w:hAnsi="黑体" w:eastAsia="黑体"/>
          <w:b/>
          <w:color w:val="auto"/>
          <w:sz w:val="32"/>
          <w:highlight w:val="none"/>
          <w:lang w:val="en-US" w:eastAsia="zh-CN"/>
        </w:rPr>
      </w:pPr>
      <w:r>
        <w:rPr>
          <w:rFonts w:hint="eastAsia" w:ascii="黑体" w:hAnsi="黑体" w:eastAsia="黑体"/>
          <w:b/>
          <w:color w:val="auto"/>
          <w:sz w:val="32"/>
          <w:highlight w:val="none"/>
          <w:lang w:val="en-US" w:eastAsia="zh-CN"/>
        </w:rPr>
      </w:r>
      <w:r/>
    </w:p>
    <w:p>
      <w:pPr>
        <w:jc w:val="both"/>
        <w:rPr>
          <w:rFonts w:hint="eastAsia" w:ascii="黑体" w:hAnsi="黑体" w:eastAsia="黑体"/>
          <w:b/>
          <w:color w:val="auto"/>
          <w:sz w:val="32"/>
          <w:highlight w:val="none"/>
          <w:lang w:val="en-US" w:eastAsia="zh-CN"/>
        </w:rPr>
      </w:pPr>
      <w:r>
        <w:rPr>
          <w:rFonts w:hint="eastAsia" w:ascii="黑体" w:hAnsi="黑体" w:eastAsia="黑体"/>
          <w:b/>
          <w:color w:val="auto"/>
          <w:sz w:val="32"/>
          <w:highlight w:val="none"/>
          <w:lang w:val="en-US" w:eastAsia="zh-CN"/>
        </w:rPr>
      </w:r>
      <w:r/>
    </w:p>
    <w:p>
      <w:pPr>
        <w:ind w:firstLine="1285"/>
        <w:rPr>
          <w:rFonts w:hint="eastAsia" w:ascii="黑体" w:hAnsi="黑体" w:eastAsia="黑体"/>
          <w:b/>
          <w:color w:val="auto"/>
          <w:sz w:val="32"/>
          <w:szCs w:val="32"/>
          <w:highlight w:val="none"/>
          <w:lang w:val="en-US" w:eastAsia="zh-CN"/>
        </w:rPr>
      </w:pPr>
      <w:r>
        <w:rPr>
          <w:rFonts w:hint="eastAsia" w:ascii="黑体" w:hAnsi="黑体" w:eastAsia="黑体"/>
          <w:b/>
          <w:color w:val="auto"/>
          <w:sz w:val="32"/>
          <w:highlight w:val="none"/>
          <w:lang w:val="en-US" w:eastAsia="zh-CN"/>
        </w:rPr>
        <w:t xml:space="preserve">采 购 人：</w:t>
      </w:r>
      <w:r>
        <w:rPr>
          <w:rFonts w:hint="eastAsia" w:ascii="黑体" w:hAnsi="黑体" w:eastAsia="黑体"/>
          <w:b/>
          <w:color w:val="auto"/>
          <w:sz w:val="32"/>
          <w:szCs w:val="32"/>
          <w:highlight w:val="none"/>
          <w:lang w:val="en-US" w:eastAsia="zh-CN"/>
        </w:rPr>
        <w:t xml:space="preserve">淮安市博物馆</w:t>
      </w:r>
      <w:r/>
    </w:p>
    <w:p>
      <w:pPr>
        <w:rPr>
          <w:rFonts w:hint="eastAsia" w:ascii="黑体" w:hAnsi="黑体" w:eastAsia="黑体" w:cs="Times New Roman"/>
          <w:b/>
          <w:color w:val="auto"/>
          <w:sz w:val="32"/>
          <w:highlight w:val="none"/>
          <w:lang w:val="en-US" w:eastAsia="zh-CN"/>
        </w:rPr>
      </w:pPr>
      <w:r>
        <w:rPr>
          <w:rFonts w:hint="eastAsia" w:ascii="黑体" w:hAnsi="黑体" w:eastAsia="黑体" w:cs="Times New Roman"/>
          <w:b/>
          <w:color w:val="auto"/>
          <w:sz w:val="32"/>
          <w:highlight w:val="none"/>
          <w:lang w:val="en-US" w:eastAsia="zh-CN"/>
        </w:rPr>
      </w:r>
      <w:r/>
    </w:p>
    <w:p>
      <w:pPr>
        <w:ind w:firstLine="1285"/>
        <w:rPr>
          <w:rFonts w:hint="eastAsia" w:ascii="黑体" w:hAnsi="黑体" w:eastAsia="黑体" w:cs="Times New Roman"/>
          <w:b/>
          <w:color w:val="auto"/>
          <w:sz w:val="32"/>
          <w:highlight w:val="none"/>
          <w:lang w:val="en-US" w:eastAsia="zh-CN"/>
        </w:rPr>
      </w:pPr>
      <w:r>
        <w:rPr>
          <w:rFonts w:hint="eastAsia" w:ascii="黑体" w:hAnsi="黑体" w:eastAsia="黑体" w:cs="Times New Roman"/>
          <w:b/>
          <w:color w:val="auto"/>
          <w:sz w:val="32"/>
          <w:highlight w:val="none"/>
          <w:lang w:val="en-US" w:eastAsia="zh-CN"/>
        </w:rPr>
        <w:t xml:space="preserve">代理机构：淮安万顺工程项目咨询管理有限公司</w:t>
      </w:r>
      <w:r/>
    </w:p>
    <w:p>
      <w:pPr>
        <w:jc w:val="both"/>
        <w:rPr>
          <w:rFonts w:hint="eastAsia" w:ascii="黑体" w:hAnsi="黑体" w:eastAsia="黑体"/>
          <w:b/>
          <w:color w:val="auto"/>
          <w:sz w:val="36"/>
          <w:szCs w:val="24"/>
          <w:highlight w:val="none"/>
          <w:lang w:eastAsia="zh-CN"/>
        </w:rPr>
      </w:pPr>
      <w:r>
        <w:rPr>
          <w:rFonts w:hint="eastAsia" w:ascii="黑体" w:hAnsi="黑体" w:eastAsia="黑体"/>
          <w:b/>
          <w:color w:val="auto"/>
          <w:sz w:val="36"/>
          <w:szCs w:val="24"/>
          <w:highlight w:val="none"/>
          <w:lang w:eastAsia="zh-CN"/>
        </w:rPr>
      </w:r>
      <w:r/>
    </w:p>
    <w:p>
      <w:pPr>
        <w:jc w:val="center"/>
        <w:rPr>
          <w:rFonts w:hint="eastAsia" w:ascii="黑体" w:hAnsi="黑体" w:eastAsia="黑体" w:cs="Times New Roman"/>
          <w:b/>
          <w:color w:val="auto"/>
          <w:sz w:val="32"/>
          <w:highlight w:val="none"/>
          <w:lang w:val="en-US" w:eastAsia="zh-CN"/>
        </w:rPr>
      </w:pPr>
      <w:r>
        <w:rPr>
          <w:rFonts w:hint="eastAsia" w:ascii="黑体" w:hAnsi="黑体" w:eastAsia="黑体"/>
          <w:b/>
          <w:color w:val="auto"/>
          <w:sz w:val="36"/>
          <w:szCs w:val="24"/>
          <w:highlight w:val="none"/>
          <w:lang w:eastAsia="zh-CN"/>
        </w:rPr>
        <w:t xml:space="preserve">二〇二五</w:t>
      </w:r>
      <w:r>
        <w:rPr>
          <w:rFonts w:hint="eastAsia" w:ascii="黑体" w:hAnsi="黑体" w:eastAsia="黑体" w:cs="Times New Roman"/>
          <w:b/>
          <w:color w:val="auto"/>
          <w:sz w:val="32"/>
          <w:highlight w:val="none"/>
          <w:lang w:val="en-US" w:eastAsia="zh-CN"/>
        </w:rPr>
        <w:t xml:space="preserve">年十月</w:t>
      </w:r>
      <w:r/>
    </w:p>
    <w:p>
      <w:pPr>
        <w:jc w:val="both"/>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第一章</w:t>
      </w: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 xml:space="preserve">投标邀请</w: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受</w:t>
      </w:r>
      <w:r>
        <w:rPr>
          <w:rFonts w:hint="eastAsia" w:ascii="仿宋" w:hAnsi="仿宋" w:eastAsia="仿宋" w:cs="仿宋"/>
          <w:color w:val="auto"/>
          <w:sz w:val="28"/>
          <w:highlight w:val="none"/>
          <w:lang w:val="en-US" w:eastAsia="zh-CN"/>
        </w:rPr>
        <w:t xml:space="preserve">淮安市博物馆</w:t>
      </w:r>
      <w:r>
        <w:rPr>
          <w:rFonts w:hint="eastAsia" w:ascii="仿宋" w:hAnsi="仿宋" w:eastAsia="仿宋" w:cs="仿宋"/>
          <w:color w:val="auto"/>
          <w:sz w:val="28"/>
          <w:highlight w:val="none"/>
        </w:rPr>
        <w:t xml:space="preserve">的委托，</w:t>
      </w:r>
      <w:r>
        <w:rPr>
          <w:rFonts w:hint="eastAsia" w:ascii="仿宋" w:hAnsi="仿宋" w:eastAsia="仿宋" w:cs="仿宋"/>
          <w:color w:val="auto"/>
          <w:sz w:val="28"/>
          <w:highlight w:val="none"/>
          <w:lang w:eastAsia="zh-CN"/>
        </w:rPr>
        <w:t xml:space="preserve">淮安万顺工程项目咨询管理有限公司</w:t>
      </w:r>
      <w:r>
        <w:rPr>
          <w:rFonts w:hint="eastAsia" w:ascii="仿宋" w:hAnsi="仿宋" w:eastAsia="仿宋" w:cs="仿宋"/>
          <w:color w:val="auto"/>
          <w:sz w:val="28"/>
          <w:highlight w:val="none"/>
        </w:rPr>
        <w:t xml:space="preserve">就</w:t>
      </w:r>
      <w:r>
        <w:rPr>
          <w:rFonts w:hint="eastAsia" w:ascii="仿宋" w:hAnsi="仿宋" w:eastAsia="仿宋" w:cs="仿宋"/>
          <w:color w:val="auto"/>
          <w:sz w:val="28"/>
          <w:highlight w:val="none"/>
          <w:lang w:val="en-US" w:eastAsia="zh-CN"/>
        </w:rPr>
        <w:t xml:space="preserve">淮安市博物馆展厅及文物保护设备采购项目</w:t>
      </w:r>
      <w:r>
        <w:rPr>
          <w:rFonts w:hint="eastAsia" w:ascii="仿宋" w:hAnsi="仿宋" w:eastAsia="仿宋" w:cs="仿宋"/>
          <w:color w:val="auto"/>
          <w:sz w:val="28"/>
          <w:highlight w:val="none"/>
        </w:rPr>
        <w:t xml:space="preserve">进行公开招标采购，现邀请</w:t>
      </w:r>
      <w:r>
        <w:rPr>
          <w:rFonts w:hint="eastAsia" w:ascii="仿宋" w:hAnsi="仿宋" w:eastAsia="仿宋" w:cs="仿宋"/>
          <w:color w:val="auto"/>
          <w:sz w:val="28"/>
          <w:szCs w:val="28"/>
          <w:highlight w:val="none"/>
        </w:rPr>
        <w:t xml:space="preserve">符合条件的投标人参加投标</w:t>
      </w:r>
      <w:r>
        <w:rPr>
          <w:rFonts w:hint="eastAsia" w:ascii="仿宋" w:hAnsi="仿宋" w:eastAsia="仿宋" w:cs="仿宋"/>
          <w:color w:val="auto"/>
          <w:sz w:val="28"/>
          <w:highlight w:val="none"/>
        </w:rPr>
        <w:t xml:space="preserve">。</w:t>
      </w:r>
      <w:r/>
    </w:p>
    <w:tbl>
      <w:tblPr>
        <w:tblStyle w:val="8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7"/>
      </w:tblGrid>
      <w:tr>
        <w:trPr>
          <w:jc w:val="center"/>
        </w:trPr>
        <w:tc>
          <w:tcPr>
            <w:tcW w:w="8907" w:type="dxa"/>
            <w:vAlign w:val="top"/>
            <w:textDirection w:val="lrTb"/>
            <w:noWrap w:val="false"/>
          </w:tcPr>
          <w:p>
            <w:pPr>
              <w:ind w:left="0" w:right="0" w:firstLine="537"/>
              <w:keepLines w:val="0"/>
              <w:keepNext w:val="0"/>
              <w:spacing w:before="0" w:beforeAutospacing="0" w:after="0" w:afterAutospacing="0" w:line="520" w:lineRule="exact"/>
              <w:rPr>
                <w:rFonts w:hint="eastAsia" w:ascii="仿宋" w:hAnsi="仿宋" w:eastAsia="仿宋" w:cs="仿宋"/>
                <w:color w:val="auto"/>
                <w:sz w:val="28"/>
                <w:szCs w:val="28"/>
                <w:highlight w:val="none"/>
                <w:vertAlign w:val="baseline"/>
              </w:rPr>
              <w:suppressLineNumbers w:val="0"/>
            </w:pPr>
            <w:r>
              <w:rPr>
                <w:rFonts w:hint="eastAsia" w:ascii="仿宋" w:hAnsi="仿宋" w:eastAsia="仿宋" w:cs="仿宋"/>
                <w:color w:val="auto"/>
                <w:sz w:val="28"/>
                <w:szCs w:val="28"/>
                <w:highlight w:val="none"/>
              </w:rPr>
              <w:t xml:space="preserve">项目概况</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淮安市博物馆展厅及文物保护设备采购项目的</w:t>
            </w:r>
            <w:r>
              <w:rPr>
                <w:rFonts w:hint="eastAsia" w:ascii="仿宋" w:hAnsi="仿宋" w:eastAsia="仿宋" w:cs="仿宋"/>
                <w:color w:val="auto"/>
                <w:sz w:val="28"/>
                <w:szCs w:val="28"/>
                <w:highlight w:val="none"/>
              </w:rPr>
              <w:t xml:space="preserve">潜在投标人应在淮安市政府采购网（http://czj.huaian.gov.cn/col/13924_326175/index.html）自行免费下载招标文件，并于</w:t>
            </w:r>
            <w:r>
              <w:rPr>
                <w:rFonts w:hint="eastAsia" w:ascii="仿宋" w:hAnsi="仿宋" w:eastAsia="仿宋" w:cs="仿宋"/>
                <w:color w:val="auto"/>
                <w:sz w:val="28"/>
                <w:szCs w:val="28"/>
                <w:highlight w:val="none"/>
                <w:lang w:val="en-US" w:eastAsia="zh-CN"/>
              </w:rPr>
              <w:t xml:space="preserve">2025</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9时30</w:t>
            </w:r>
            <w:r>
              <w:rPr>
                <w:rFonts w:hint="eastAsia" w:ascii="仿宋" w:hAnsi="仿宋" w:eastAsia="仿宋" w:cs="仿宋"/>
                <w:color w:val="auto"/>
                <w:sz w:val="28"/>
                <w:szCs w:val="28"/>
                <w:highlight w:val="none"/>
              </w:rPr>
              <w:t xml:space="preserve">分（北京时间）前提交投标文件。</w:t>
            </w:r>
            <w:r/>
          </w:p>
        </w:tc>
      </w:tr>
    </w:tbl>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一、项目基本情况</w:t>
      </w:r>
      <w:r/>
    </w:p>
    <w:p>
      <w:pPr>
        <w:ind w:firstLine="565"/>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：JSZC-320800-HAWS-G2025-0007 </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淮安市博物馆展厅及文物保护设备采购项目</w:t>
      </w:r>
      <w:r>
        <w:rPr>
          <w:rFonts w:hint="eastAsia" w:ascii="仿宋" w:hAnsi="仿宋" w:eastAsia="仿宋" w:cs="仿宋"/>
          <w:bCs/>
          <w:color w:val="auto"/>
          <w:sz w:val="28"/>
          <w:highlight w:val="none"/>
        </w:rPr>
        <w:t xml:space="preserve"> </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预算金额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1777.67</w:t>
      </w:r>
      <w:r>
        <w:rPr>
          <w:rFonts w:hint="eastAsia" w:ascii="仿宋" w:hAnsi="仿宋" w:eastAsia="仿宋" w:cs="仿宋"/>
          <w:color w:val="auto"/>
          <w:sz w:val="28"/>
          <w:szCs w:val="28"/>
          <w:highlight w:val="none"/>
        </w:rPr>
        <w:t xml:space="preserve">万元</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最高限价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1777.67</w:t>
      </w:r>
      <w:r>
        <w:rPr>
          <w:rFonts w:hint="eastAsia" w:ascii="仿宋" w:hAnsi="仿宋" w:eastAsia="仿宋" w:cs="仿宋"/>
          <w:color w:val="auto"/>
          <w:sz w:val="28"/>
          <w:szCs w:val="28"/>
          <w:highlight w:val="none"/>
        </w:rPr>
        <w:t xml:space="preserve">万元</w:t>
      </w:r>
      <w:r/>
    </w:p>
    <w:p>
      <w:pPr>
        <w:ind w:firstLine="565"/>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eastAsia="zh-CN"/>
        </w:rPr>
        <w:t xml:space="preserve">：淮安市博物馆展厅及文物保护设备采购项目</w:t>
      </w:r>
      <w:r>
        <w:rPr>
          <w:rFonts w:hint="eastAsia" w:ascii="仿宋" w:hAnsi="仿宋" w:eastAsia="仿宋" w:cs="仿宋"/>
          <w:color w:val="auto"/>
          <w:sz w:val="28"/>
          <w:szCs w:val="28"/>
          <w:highlight w:val="none"/>
          <w:lang w:val="en-US" w:eastAsia="zh-CN"/>
        </w:rPr>
        <w:t xml:space="preserve">，详见招标文件第五章项目采购需求。</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Cs/>
          <w:color w:val="auto"/>
          <w:sz w:val="28"/>
          <w:szCs w:val="28"/>
          <w:highlight w:val="none"/>
          <w:lang w:val="zh-TW" w:eastAsia="zh-CN"/>
        </w:rPr>
        <w:t xml:space="preserve">合同签订后</w:t>
      </w:r>
      <w:r>
        <w:rPr>
          <w:rFonts w:hint="eastAsia" w:ascii="仿宋" w:hAnsi="仿宋" w:eastAsia="仿宋" w:cs="仿宋"/>
          <w:bCs/>
          <w:color w:val="auto"/>
          <w:sz w:val="28"/>
          <w:szCs w:val="28"/>
          <w:highlight w:val="none"/>
          <w:lang w:val="en-US" w:eastAsia="zh-CN"/>
        </w:rPr>
        <w:t xml:space="preserve">180</w:t>
      </w:r>
      <w:r>
        <w:rPr>
          <w:rFonts w:hint="eastAsia" w:ascii="仿宋" w:hAnsi="仿宋" w:eastAsia="仿宋" w:cs="仿宋"/>
          <w:bCs/>
          <w:color w:val="auto"/>
          <w:sz w:val="28"/>
          <w:szCs w:val="28"/>
          <w:highlight w:val="none"/>
          <w:lang w:val="zh-TW" w:eastAsia="zh-CN"/>
        </w:rPr>
        <w:t xml:space="preserve">日内供货安装调试到位，交付采购单位使用</w:t>
      </w:r>
      <w:r>
        <w:rPr>
          <w:rFonts w:hint="eastAsia" w:ascii="仿宋" w:hAnsi="仿宋" w:eastAsia="仿宋" w:cs="仿宋"/>
          <w:color w:val="auto"/>
          <w:sz w:val="28"/>
          <w:szCs w:val="28"/>
          <w:highlight w:val="none"/>
        </w:rPr>
        <w:t xml:space="preserve">。</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w:t>
      </w:r>
      <w:r>
        <w:rPr>
          <w:rFonts w:ascii="Wingdings 2" w:hAnsi="Wingdings 2" w:eastAsia="Wingdings 2" w:cs="Wingdings 2"/>
          <w:color w:val="auto"/>
          <w:sz w:val="28"/>
          <w:szCs w:val="28"/>
          <w:highlight w:val="none"/>
        </w:rPr>
        <w:t xml:space="preserve">£</w:t>
      </w:r>
      <w:r>
        <w:rPr>
          <w:rFonts w:hint="eastAsia" w:ascii="仿宋" w:hAnsi="仿宋" w:eastAsia="仿宋" w:cs="仿宋"/>
          <w:color w:val="auto"/>
          <w:sz w:val="28"/>
          <w:szCs w:val="28"/>
          <w:highlight w:val="none"/>
        </w:rPr>
        <w:t xml:space="preserve">是</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否）接受联合体投标。</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本项目采购标的对应的中小企业划分标准所属行业为</w:t>
      </w:r>
      <w:r>
        <w:rPr>
          <w:rFonts w:hint="eastAsia" w:ascii="仿宋" w:hAnsi="仿宋" w:eastAsia="仿宋" w:cs="仿宋"/>
          <w:color w:val="auto"/>
          <w:sz w:val="28"/>
          <w:szCs w:val="28"/>
          <w:highlight w:val="none"/>
          <w:u w:val="single"/>
          <w:lang w:val="en-US" w:eastAsia="zh-CN"/>
        </w:rPr>
        <w:t xml:space="preserve">工业</w:t>
      </w:r>
      <w:r>
        <w:rPr>
          <w:rFonts w:hint="eastAsia" w:ascii="仿宋" w:hAnsi="仿宋" w:eastAsia="仿宋" w:cs="仿宋"/>
          <w:color w:val="auto"/>
          <w:sz w:val="28"/>
          <w:szCs w:val="28"/>
          <w:highlight w:val="none"/>
        </w:rPr>
        <w:t xml:space="preserve">。</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二、申请人的资格要求</w:t>
      </w:r>
      <w:r>
        <w:rPr>
          <w:rFonts w:hint="eastAsia" w:ascii="仿宋" w:hAnsi="仿宋" w:eastAsia="仿宋" w:cs="仿宋"/>
          <w:color w:val="auto"/>
          <w:sz w:val="28"/>
          <w:szCs w:val="28"/>
          <w:highlight w:val="none"/>
          <w:lang w:eastAsia="zh-CN"/>
        </w:rPr>
        <w:t xml:space="preserve">：</w:t>
      </w:r>
      <w:r/>
    </w:p>
    <w:p>
      <w:pPr>
        <w:ind w:left="55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left="559"/>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（二）落实政府采购政策需满足的资格要求</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本项目为专门面向中小企业采购的项目。</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（1）本项目要求投标人以联合体形式参加，中小企业合同金额应当达到的比例为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（2）本项目要求投标人进行合同分包，中小企业合同金额应当达到的比例为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rPr>
        <w:t xml:space="preserve">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对小微企业报价给予扣除，用扣除后的价格参加评审，具体详见第二章“投标人须知”第3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0"/>
        </w:numPr>
        <w:ind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bidi="ar-SA"/>
        </w:rPr>
        <w:t xml:space="preserve">（三）</w:t>
      </w:r>
      <w:r>
        <w:rPr>
          <w:rFonts w:hint="eastAsia" w:ascii="仿宋" w:hAnsi="仿宋" w:eastAsia="仿宋" w:cs="仿宋"/>
          <w:color w:val="auto"/>
          <w:sz w:val="28"/>
          <w:szCs w:val="28"/>
          <w:highlight w:val="none"/>
        </w:rPr>
        <w:t xml:space="preserve">本项目的特定资格要求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无。</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（四）拒绝下述条件的投标人参加本次采购活动：</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1.投标人单位负责人为同一人或者存在直接控股、管理关系的不同</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，不得同时参加同一合同项下的政府采购活动。</w:t>
      </w:r>
      <w:r/>
    </w:p>
    <w:p>
      <w:pPr>
        <w:ind w:firstLine="560"/>
        <w:spacing w:line="520" w:lineRule="exact"/>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凡为采购项目提供整体设计、规范编制或者项目管理、监理、检测等服务的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，不得再参加本项目的采购活动。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投标人被“信用中国”网站、“中国政府采购网”列入失信被执行人、重大税收违法案件当事人名单、政府采购严重违法失信行为记录名单。</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三、获取招标文件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（一）时间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自招标公告发布之日起五个工作日。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（二）方式：</w:t>
      </w:r>
      <w:r>
        <w:rPr>
          <w:rFonts w:hint="eastAsia" w:ascii="仿宋" w:hAnsi="仿宋" w:eastAsia="仿宋" w:cs="仿宋"/>
          <w:i w:val="0"/>
          <w:iCs w:val="0"/>
          <w:caps w:val="0"/>
          <w:color w:val="auto"/>
          <w:spacing w:val="0"/>
          <w:sz w:val="28"/>
          <w:szCs w:val="28"/>
          <w:highlight w:val="none"/>
          <w:shd w:val="clear" w:color="auto" w:fill="ffffff"/>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四、提交投标文件截止时间、开标时间和地点</w:t>
      </w:r>
      <w:r/>
    </w:p>
    <w:p>
      <w:pPr>
        <w:ind w:firstLine="28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（一）投标文件提交截止时间及开标时间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202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12月1</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9时30分</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（二）投标文件上传地址：“苏采云”政府采购交易系统网上开标大厅。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五、公告期限</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六、其他补充事宜</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本文件所称进口产品是指通过中国海关报关验放进入中国境内且产自关境外的产品）。</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七、对本次采购提出询问，请按以下方式联系。</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采购人联系方式</w:t>
      </w:r>
      <w:r/>
    </w:p>
    <w:p>
      <w:pPr>
        <w:ind w:firstLine="565"/>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淮安市博物馆</w:t>
      </w:r>
      <w:r/>
    </w:p>
    <w:p>
      <w:pPr>
        <w:ind w:firstLine="565"/>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：淮安市健康西路146-1号</w:t>
      </w:r>
      <w:r/>
    </w:p>
    <w:p>
      <w:pPr>
        <w:ind w:firstLine="565"/>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王伟15950381267、卢菲15152376490</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采购代理机构信息</w:t>
      </w:r>
      <w:r/>
    </w:p>
    <w:p>
      <w:pPr>
        <w:ind w:firstLine="565"/>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：淮安万顺工程项目咨询管理有限公司</w:t>
      </w:r>
      <w:r/>
    </w:p>
    <w:p>
      <w:pPr>
        <w:ind w:firstLine="565"/>
        <w:spacing w:line="520" w:lineRule="exact"/>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bookmarkStart w:id="0" w:name="OLE_LINK1"/>
      <w:r/>
      <w:bookmarkStart w:id="1" w:name="OLE_LINK2"/>
      <w:r>
        <w:rPr>
          <w:rFonts w:hint="eastAsia" w:ascii="仿宋" w:hAnsi="仿宋" w:eastAsia="仿宋" w:cs="仿宋"/>
          <w:color w:val="auto"/>
          <w:sz w:val="28"/>
          <w:szCs w:val="28"/>
          <w:highlight w:val="none"/>
        </w:rPr>
        <w:t xml:space="preserve">淮安市淮阴区淮海北路668号曼度广场B座七楼</w:t>
      </w:r>
      <w:bookmarkEnd w:id="0"/>
      <w:r/>
      <w:bookmarkEnd w:id="1"/>
      <w:r/>
      <w:r/>
    </w:p>
    <w:p>
      <w:pPr>
        <w:ind w:firstLine="565"/>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王工     13770393590</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八、其他</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w:t>
      </w:r>
      <w:r>
        <w:rPr>
          <w:rFonts w:hint="eastAsia" w:ascii="仿宋" w:hAnsi="仿宋" w:eastAsia="仿宋" w:cs="仿宋"/>
          <w:color w:val="auto"/>
          <w:sz w:val="28"/>
          <w:szCs w:val="28"/>
          <w:highlight w:val="none"/>
          <w:lang w:eastAsia="zh-CN"/>
        </w:rPr>
        <w:t xml:space="preserve">http:</w:t>
      </w:r>
      <w:r>
        <w:rPr>
          <w:rFonts w:hint="eastAsia" w:ascii="仿宋" w:hAnsi="仿宋" w:eastAsia="仿宋" w:cs="仿宋"/>
          <w:color w:val="auto"/>
          <w:sz w:val="28"/>
          <w:szCs w:val="28"/>
          <w:highlight w:val="none"/>
        </w:rPr>
        <w:t xml:space="preserve">//www.ccgp-jiangsu.gov.cn/jiangsu/zlxz/ee/ee3a4bc5a3454aa2b0d9312230633ce9.html。</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操作手册》（以下简称《操作手册》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、进行注册并按《操作手册》要求制作、上传电子响应文件。</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2.有关本次招标的事项若存在变动或修改，敬请及时关注采购代理机构在“淮安市政府采购网”发布的更正公告。</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3.本次招标不收取投标保证金。</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第二章</w:t>
      </w: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 xml:space="preserve">投标人须知</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一、总则</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2.合格的投标人</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满足招标文件中实质性条款的规定。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4.1投标人应自行承担所有与参加投标有关的费用。不论投标的结果如何，</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rPr>
        <w:t xml:space="preserve">（以下简称</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）在任何情况下均无义务和责任承担这些费用。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本项目</w:t>
      </w:r>
      <w:r>
        <w:rPr>
          <w:rFonts w:hint="eastAsia" w:ascii="仿宋" w:hAnsi="仿宋" w:eastAsia="仿宋" w:cs="仿宋"/>
          <w:color w:val="auto"/>
          <w:sz w:val="28"/>
          <w:szCs w:val="28"/>
          <w:highlight w:val="none"/>
          <w:lang w:val="en-US" w:eastAsia="zh-CN"/>
        </w:rPr>
        <w:t xml:space="preserve">代理服务费</w:t>
      </w:r>
      <w:r>
        <w:rPr>
          <w:rFonts w:hint="eastAsia" w:ascii="仿宋" w:hAnsi="仿宋" w:eastAsia="仿宋" w:cs="仿宋"/>
          <w:color w:val="auto"/>
          <w:sz w:val="28"/>
          <w:szCs w:val="28"/>
          <w:highlight w:val="none"/>
          <w:lang w:eastAsia="zh-CN"/>
        </w:rPr>
        <w:t xml:space="preserve">参照计价格〔</w:t>
      </w:r>
      <w:r>
        <w:rPr>
          <w:rFonts w:hint="default" w:ascii="仿宋" w:hAnsi="仿宋" w:eastAsia="仿宋" w:cs="仿宋"/>
          <w:color w:val="auto"/>
          <w:sz w:val="28"/>
          <w:szCs w:val="28"/>
          <w:highlight w:val="none"/>
          <w:lang w:eastAsia="zh-CN"/>
        </w:rPr>
        <w:t xml:space="preserve">2002〕1980号文收费标准计取，代理费为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28332</w:t>
      </w:r>
      <w:r>
        <w:rPr>
          <w:rFonts w:hint="default" w:ascii="仿宋" w:hAnsi="仿宋" w:eastAsia="仿宋" w:cs="仿宋"/>
          <w:color w:val="auto"/>
          <w:sz w:val="28"/>
          <w:szCs w:val="28"/>
          <w:highlight w:val="none"/>
          <w:lang w:eastAsia="zh-CN"/>
        </w:rPr>
        <w:t xml:space="preserve">元</w:t>
      </w:r>
      <w:r>
        <w:rPr>
          <w:rFonts w:hint="eastAsia" w:ascii="仿宋" w:hAnsi="仿宋" w:eastAsia="仿宋" w:cs="仿宋"/>
          <w:color w:val="auto"/>
          <w:sz w:val="28"/>
          <w:szCs w:val="28"/>
          <w:highlight w:val="none"/>
          <w:lang w:val="en-US" w:eastAsia="zh-CN"/>
        </w:rPr>
        <w:t xml:space="preserve">，评审费按实计取，由中标人承担</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在领取</w:t>
      </w:r>
      <w:r>
        <w:rPr>
          <w:rFonts w:hint="eastAsia" w:ascii="仿宋" w:hAnsi="仿宋" w:eastAsia="仿宋" w:cs="仿宋"/>
          <w:color w:val="auto"/>
          <w:sz w:val="28"/>
          <w:szCs w:val="28"/>
          <w:highlight w:val="none"/>
          <w:lang w:val="en-US" w:eastAsia="zh-CN"/>
        </w:rPr>
        <w:t xml:space="preserve">中标</w:t>
      </w:r>
      <w:r>
        <w:rPr>
          <w:rFonts w:hint="eastAsia" w:ascii="仿宋" w:hAnsi="仿宋" w:eastAsia="仿宋" w:cs="仿宋"/>
          <w:color w:val="auto"/>
          <w:sz w:val="28"/>
          <w:szCs w:val="28"/>
          <w:highlight w:val="none"/>
          <w:lang w:eastAsia="zh-CN"/>
        </w:rPr>
        <w:t xml:space="preserve">通知书</w:t>
      </w:r>
      <w:r>
        <w:rPr>
          <w:rFonts w:hint="eastAsia" w:ascii="仿宋" w:hAnsi="仿宋" w:eastAsia="仿宋" w:cs="仿宋"/>
          <w:color w:val="auto"/>
          <w:sz w:val="28"/>
          <w:szCs w:val="28"/>
          <w:highlight w:val="none"/>
        </w:rPr>
        <w:t xml:space="preserve">之日向</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一次性付清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中标</w:t>
      </w:r>
      <w:r>
        <w:rPr>
          <w:rFonts w:hint="eastAsia" w:ascii="仿宋" w:hAnsi="仿宋" w:eastAsia="仿宋" w:cs="仿宋"/>
          <w:color w:val="auto"/>
          <w:sz w:val="28"/>
          <w:szCs w:val="28"/>
          <w:highlight w:val="none"/>
          <w:lang w:eastAsia="zh-CN"/>
        </w:rPr>
        <w:t xml:space="preserve">供应商在成交通知书发出之前，必须提供</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lang w:eastAsia="zh-CN"/>
        </w:rPr>
        <w:t xml:space="preserve">份与电子</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lang w:eastAsia="zh-CN"/>
        </w:rPr>
        <w:t xml:space="preserve">响应文件一致的</w:t>
      </w:r>
      <w:r>
        <w:rPr>
          <w:rFonts w:hint="eastAsia" w:ascii="仿宋" w:hAnsi="仿宋" w:eastAsia="仿宋" w:cs="仿宋"/>
          <w:color w:val="auto"/>
          <w:sz w:val="28"/>
          <w:szCs w:val="28"/>
          <w:highlight w:val="none"/>
          <w:lang w:val="en-US" w:eastAsia="zh-CN"/>
        </w:rPr>
        <w:t xml:space="preserve">打印版纸质投标</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lang w:val="en-US" w:eastAsia="zh-CN"/>
        </w:rPr>
        <w:t xml:space="preserve">加盖公章给</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lang w:val="en-US" w:eastAsia="zh-CN"/>
        </w:rPr>
        <w:t xml:space="preserve">存档</w:t>
      </w:r>
      <w:r>
        <w:rPr>
          <w:rFonts w:hint="eastAsia" w:ascii="仿宋" w:hAnsi="仿宋" w:eastAsia="仿宋" w:cs="仿宋"/>
          <w:color w:val="auto"/>
          <w:sz w:val="28"/>
          <w:szCs w:val="28"/>
          <w:highlight w:val="none"/>
        </w:rPr>
        <w:t xml:space="preserve">。 </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4.3</w:t>
      </w:r>
      <w:r>
        <w:rPr>
          <w:rFonts w:hint="eastAsia" w:ascii="仿宋" w:hAnsi="仿宋" w:eastAsia="仿宋" w:cs="仿宋"/>
          <w:color w:val="auto"/>
          <w:sz w:val="28"/>
          <w:szCs w:val="28"/>
          <w:highlight w:val="none"/>
        </w:rPr>
        <w:t xml:space="preserve">本次采购项目不收取标书工本费和中标管理费。</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二、招标文件</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5.招标文件由以下部分组成</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5.1投标邀请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5.2投标人须知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5.3合同文本</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5.4项目采购需求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5.5评标方法与评标标准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5.6投标文件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6.招标文件的澄清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6.1任何要求对招标文件进行澄清的投标人，均应在投标截止时间十日前</w:t>
      </w:r>
      <w:r>
        <w:rPr>
          <w:rFonts w:hint="eastAsia" w:ascii="仿宋" w:hAnsi="仿宋" w:eastAsia="仿宋" w:cs="仿宋"/>
          <w:color w:val="auto"/>
          <w:sz w:val="28"/>
          <w:szCs w:val="28"/>
          <w:highlight w:val="none"/>
          <w:lang w:eastAsia="zh-CN"/>
        </w:rPr>
        <w:t xml:space="preserve">通过</w:t>
      </w:r>
      <w:r>
        <w:rPr>
          <w:rFonts w:hint="eastAsia" w:ascii="仿宋" w:hAnsi="仿宋" w:eastAsia="仿宋" w:cs="仿宋"/>
          <w:color w:val="auto"/>
          <w:sz w:val="28"/>
          <w:szCs w:val="28"/>
          <w:highlight w:val="none"/>
        </w:rPr>
        <w:t xml:space="preserve">书面形式并加盖公章通知</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对投标截止时间前十日收到的任何澄清要求将以书面形式予以答复。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7.招标文件的更正或补充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7.1在投标截止时间十五日前，</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可主动或在解答投标人提出的澄清问题时对招标文件用更正公告的方式进行修正。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有权按照相关法定的要求推迟投标截止时间和开标日期。 </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三、投标文件的编制</w:t>
      </w:r>
      <w:r/>
    </w:p>
    <w:p>
      <w:pPr>
        <w:spacing w:line="520" w:lineRule="exact"/>
        <w:rPr>
          <w:rFonts w:hint="eastAsia" w:ascii="仿宋" w:hAnsi="仿宋" w:eastAsia="仿宋" w:cs="仿宋"/>
          <w:color w:val="auto"/>
          <w:sz w:val="28"/>
          <w:szCs w:val="28"/>
          <w:highlight w:val="none"/>
        </w:rPr>
      </w:pPr>
      <w:r/>
      <w:bookmarkStart w:id="2" w:name="_Toc462564073"/>
      <w:r/>
      <w:bookmarkStart w:id="3" w:name="_Toc16938530"/>
      <w:r/>
      <w:bookmarkStart w:id="4" w:name="_Toc513029214"/>
      <w:r/>
      <w:bookmarkStart w:id="5" w:name="_Toc20823286"/>
      <w:r>
        <w:rPr>
          <w:rFonts w:hint="eastAsia" w:ascii="仿宋" w:hAnsi="仿宋" w:eastAsia="仿宋" w:cs="仿宋"/>
          <w:color w:val="auto"/>
          <w:sz w:val="28"/>
          <w:szCs w:val="28"/>
          <w:highlight w:val="none"/>
        </w:rPr>
        <w:t xml:space="preserve">8.投标文件的语言及度量衡单位</w:t>
      </w:r>
      <w:bookmarkEnd w:id="2"/>
      <w:r/>
      <w:bookmarkEnd w:id="3"/>
      <w:r/>
      <w:bookmarkEnd w:id="4"/>
      <w:r/>
      <w:bookmarkEnd w:id="5"/>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8.1投标人提交的投标文件以及投标人与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就有关投标的所有来往通知、函件和文件均应使用简体中文。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8.2除技术性能另有规定外，投标文件所使用的度量衡单位，均须采用国家法定计量单位。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9.投标文件构成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highlight w:val="none"/>
        </w:rPr>
        <w:t xml:space="preserve">视同未提交该投标材料处理。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9.2如标书制作工具中格式和内容与“淮安市政府采购网”发布的招标文件不一致，请以“淮安市政府采购网”发布的招标文件为准。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10.1投标人应按照招标文件要求提交证明文件，证明其及投标标的符合招标文件规定。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11.投标分项报价表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11.1投标人应按照招标文件规定格式填报投标分项报价表。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12.1投标人需对招标文件中的技术要求与商务要求逐项作出响应或偏离，并说明原因。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12.2投标人可在投标文件中提供认为需要的其他技术文件或说明。</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13.2投标人需根据招标文件要求提供培训计划。</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13.3投标人需根据招标文件要求提供所投标</w:t>
      </w:r>
      <w:r>
        <w:rPr>
          <w:rFonts w:hint="eastAsia" w:ascii="仿宋" w:hAnsi="仿宋" w:eastAsia="仿宋" w:cs="仿宋"/>
          <w:color w:val="auto"/>
          <w:sz w:val="28"/>
          <w:szCs w:val="28"/>
          <w:highlight w:val="none"/>
          <w:lang w:eastAsia="zh-CN"/>
        </w:rPr>
        <w:t xml:space="preserve">的主要</w:t>
      </w:r>
      <w:r>
        <w:rPr>
          <w:rFonts w:hint="eastAsia" w:ascii="仿宋" w:hAnsi="仿宋" w:eastAsia="仿宋" w:cs="仿宋"/>
          <w:color w:val="auto"/>
          <w:sz w:val="28"/>
          <w:szCs w:val="28"/>
          <w:highlight w:val="none"/>
        </w:rPr>
        <w:t xml:space="preserve">组成部分、功能设计、实现思路及关键技术等。</w:t>
      </w:r>
      <w:r/>
    </w:p>
    <w:p>
      <w:pPr>
        <w:spacing w:line="520" w:lineRule="exact"/>
        <w:rPr>
          <w:rFonts w:hint="eastAsia" w:ascii="仿宋" w:hAnsi="仿宋" w:eastAsia="仿宋" w:cs="仿宋"/>
          <w:color w:val="auto"/>
          <w:sz w:val="28"/>
          <w:szCs w:val="28"/>
          <w:highlight w:val="none"/>
        </w:rPr>
      </w:pPr>
      <w:r/>
      <w:bookmarkStart w:id="6" w:name="_Toc49090510"/>
      <w:r/>
      <w:bookmarkStart w:id="7" w:name="_Toc14577359"/>
      <w:r>
        <w:rPr>
          <w:rFonts w:hint="eastAsia" w:ascii="仿宋" w:hAnsi="仿宋" w:eastAsia="仿宋" w:cs="仿宋"/>
          <w:color w:val="auto"/>
          <w:sz w:val="28"/>
          <w:szCs w:val="28"/>
          <w:highlight w:val="none"/>
        </w:rPr>
        <w:t xml:space="preserve">14.投标函和开标一览表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14.1投标人应按照招标文件中提供的格式完整、正确填写投标函、开标一览表。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14.2对于采用货币报价的项目，开标一览表中的投标总报价应与投标分项报价表中的投标总报价一致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如不一致，不作为无效投标处理，但评标时</w:t>
      </w:r>
      <w:r>
        <w:rPr>
          <w:rFonts w:hint="eastAsia" w:ascii="仿宋" w:hAnsi="仿宋" w:eastAsia="仿宋" w:cs="仿宋"/>
          <w:color w:val="auto"/>
          <w:sz w:val="28"/>
          <w:szCs w:val="28"/>
          <w:highlight w:val="none"/>
          <w:lang w:val="en-US" w:eastAsia="zh-CN"/>
        </w:rPr>
        <w:t xml:space="preserve">以</w:t>
      </w:r>
      <w:r>
        <w:rPr>
          <w:rFonts w:hint="eastAsia" w:ascii="仿宋" w:hAnsi="仿宋" w:eastAsia="仿宋" w:cs="仿宋"/>
          <w:color w:val="auto"/>
          <w:sz w:val="28"/>
          <w:szCs w:val="28"/>
          <w:highlight w:val="none"/>
        </w:rPr>
        <w:t xml:space="preserve">开标一览表中</w:t>
      </w:r>
      <w:r>
        <w:rPr>
          <w:rFonts w:hint="eastAsia" w:ascii="仿宋" w:hAnsi="仿宋" w:eastAsia="仿宋" w:cs="仿宋"/>
          <w:color w:val="auto"/>
          <w:sz w:val="28"/>
          <w:szCs w:val="28"/>
          <w:highlight w:val="none"/>
          <w:lang w:eastAsia="zh-CN"/>
        </w:rPr>
        <w:t xml:space="preserve">的价格</w:t>
      </w:r>
      <w:r>
        <w:rPr>
          <w:rFonts w:hint="eastAsia" w:ascii="仿宋" w:hAnsi="仿宋" w:eastAsia="仿宋" w:cs="仿宋"/>
          <w:color w:val="auto"/>
          <w:sz w:val="28"/>
          <w:szCs w:val="28"/>
          <w:highlight w:val="none"/>
        </w:rPr>
        <w:t xml:space="preserve">为准。</w:t>
      </w:r>
      <w:bookmarkEnd w:id="6"/>
      <w:bookmarkEnd w:id="7"/>
      <w:r/>
    </w:p>
    <w:p>
      <w:pPr>
        <w:spacing w:line="520" w:lineRule="exact"/>
        <w:rPr>
          <w:rFonts w:hint="eastAsia" w:ascii="仿宋" w:hAnsi="仿宋" w:eastAsia="仿宋" w:cs="仿宋"/>
          <w:color w:val="auto"/>
          <w:sz w:val="28"/>
          <w:szCs w:val="28"/>
          <w:highlight w:val="none"/>
        </w:rPr>
      </w:pPr>
      <w:r/>
      <w:bookmarkStart w:id="8" w:name="_Toc14577360"/>
      <w:r/>
      <w:bookmarkStart w:id="9" w:name="_Toc49090511"/>
      <w:r>
        <w:rPr>
          <w:rFonts w:hint="eastAsia" w:ascii="仿宋" w:hAnsi="仿宋" w:eastAsia="仿宋" w:cs="仿宋"/>
          <w:color w:val="auto"/>
          <w:sz w:val="28"/>
          <w:szCs w:val="28"/>
          <w:highlight w:val="none"/>
        </w:rPr>
        <w:t xml:space="preserve">15.投标有效期</w:t>
      </w:r>
      <w:bookmarkEnd w:id="8"/>
      <w:r/>
      <w:bookmarkEnd w:id="9"/>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15.1投标有效期为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规定的开标之日后</w:t>
      </w: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90</w:t>
      </w:r>
      <w:r>
        <w:rPr>
          <w:rFonts w:hint="eastAsia" w:ascii="仿宋" w:hAnsi="仿宋" w:eastAsia="仿宋" w:cs="仿宋"/>
          <w:color w:val="auto"/>
          <w:sz w:val="28"/>
          <w:szCs w:val="28"/>
          <w:highlight w:val="none"/>
        </w:rPr>
        <w:t xml:space="preserve">）天。投标有效期比规定短的将被视为未实质性响应招标文件而予以拒绝。</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16.投标有效期的延长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16.1在特殊情况下，</w:t>
      </w:r>
      <w:r>
        <w:rPr>
          <w:rFonts w:hint="eastAsia" w:ascii="仿宋" w:hAnsi="仿宋" w:eastAsia="仿宋" w:cs="仿宋"/>
          <w:color w:val="auto"/>
          <w:sz w:val="28"/>
          <w:szCs w:val="28"/>
          <w:highlight w:val="none"/>
          <w:lang w:eastAsia="zh-CN"/>
        </w:rPr>
        <w:t xml:space="preserve">采购</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color w:val="auto"/>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auto"/>
          <w:sz w:val="28"/>
          <w:szCs w:val="28"/>
          <w:highlight w:val="none"/>
          <w:lang w:eastAsia="zh-CN"/>
        </w:rPr>
        <w:t xml:space="preserve">采购</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17.方案部分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17.1本项目评标标准中的方案部分采</w:t>
      </w:r>
      <w:r>
        <w:rPr>
          <w:rFonts w:hint="eastAsia" w:ascii="仿宋" w:hAnsi="仿宋" w:eastAsia="仿宋" w:cs="仿宋"/>
          <w:b w:val="0"/>
          <w:bCs/>
          <w:color w:val="auto"/>
          <w:sz w:val="28"/>
          <w:szCs w:val="28"/>
          <w:highlight w:val="none"/>
        </w:rPr>
        <w:t xml:space="preserve">用</w:t>
      </w:r>
      <w:r>
        <w:rPr>
          <w:rFonts w:hint="eastAsia" w:ascii="仿宋" w:hAnsi="仿宋" w:eastAsia="仿宋" w:cs="仿宋"/>
          <w:b w:val="0"/>
          <w:bCs/>
          <w:color w:val="auto"/>
          <w:sz w:val="28"/>
          <w:szCs w:val="28"/>
          <w:highlight w:val="none"/>
          <w:lang w:val="en-US" w:eastAsia="zh-CN"/>
        </w:rPr>
        <w:t xml:space="preserve">明</w:t>
      </w:r>
      <w:r>
        <w:rPr>
          <w:rFonts w:hint="eastAsia" w:ascii="仿宋" w:hAnsi="仿宋" w:eastAsia="仿宋" w:cs="仿宋"/>
          <w:b w:val="0"/>
          <w:bCs/>
          <w:color w:val="auto"/>
          <w:sz w:val="28"/>
          <w:szCs w:val="28"/>
          <w:highlight w:val="none"/>
        </w:rPr>
        <w:t xml:space="preserve">标</w:t>
      </w:r>
      <w:r>
        <w:rPr>
          <w:rFonts w:hint="eastAsia" w:ascii="仿宋" w:hAnsi="仿宋" w:eastAsia="仿宋" w:cs="仿宋"/>
          <w:bCs/>
          <w:color w:val="auto"/>
          <w:sz w:val="28"/>
          <w:szCs w:val="28"/>
          <w:highlight w:val="none"/>
        </w:rPr>
        <w:t xml:space="preserve">方式进行评审。</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17.2方案部分采用暗标方式进行评审的编制要求</w:t>
      </w:r>
      <w:r>
        <w:rPr>
          <w:rFonts w:ascii="仿宋" w:hAnsi="仿宋" w:eastAsia="仿宋" w:cs="仿宋"/>
          <w:color w:val="auto"/>
          <w:sz w:val="28"/>
          <w:szCs w:val="28"/>
          <w:highlight w:val="none"/>
        </w:rPr>
        <w:t xml:space="preserve">（本项目不涉及）</w:t>
      </w:r>
      <w:r>
        <w:rPr>
          <w:rFonts w:hint="eastAsia" w:ascii="仿宋" w:hAnsi="仿宋" w:eastAsia="仿宋" w:cs="仿宋"/>
          <w:bCs/>
          <w:color w:val="auto"/>
          <w:sz w:val="28"/>
          <w:szCs w:val="28"/>
          <w:highlight w:val="none"/>
        </w:rPr>
        <w:t xml:space="preserve">：</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方案部分能够正常显示的，即视为“苏采云”系统方案部分暗标功能运行无故障。</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17.3</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应按第17.2的要求编制方案，经三分之二评委认定，</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未按第17.2的要求编制方案的，按未提供方案处理。</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四、投标文件上传</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18.投标文件的上传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18.1投标人应当按照《操作手册》规定，在投标截止时间前制作并上传电子投标文件。</w:t>
      </w:r>
      <w:r/>
    </w:p>
    <w:p>
      <w:pPr>
        <w:ind w:firstLine="560"/>
        <w:spacing w:line="520" w:lineRule="exact"/>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 xml:space="preserve">18.2投标人上传的电子投标文件内容不清楚或不清晰的（含扫描</w:t>
      </w:r>
      <w:r>
        <w:rPr>
          <w:rFonts w:hint="eastAsia" w:ascii="仿宋" w:hAnsi="仿宋" w:eastAsia="仿宋" w:cs="仿宋"/>
          <w:bCs/>
          <w:color w:val="auto"/>
          <w:sz w:val="28"/>
          <w:szCs w:val="28"/>
          <w:highlight w:val="none"/>
        </w:rPr>
        <w:t xml:space="preserve">件），造成无法评审或部分影响评审的，</w:t>
      </w:r>
      <w:r>
        <w:rPr>
          <w:rFonts w:hint="eastAsia" w:ascii="仿宋" w:hAnsi="仿宋" w:eastAsia="仿宋" w:cs="仿宋"/>
          <w:bCs/>
          <w:color w:val="auto"/>
          <w:sz w:val="28"/>
          <w:szCs w:val="28"/>
          <w:highlight w:val="none"/>
          <w:lang w:val="zh-CN"/>
        </w:rPr>
        <w:t xml:space="preserve">责任由</w:t>
      </w:r>
      <w:r>
        <w:rPr>
          <w:rFonts w:hint="eastAsia" w:ascii="仿宋" w:hAnsi="仿宋" w:eastAsia="仿宋" w:cs="仿宋"/>
          <w:bCs/>
          <w:color w:val="auto"/>
          <w:sz w:val="28"/>
          <w:szCs w:val="28"/>
          <w:highlight w:val="none"/>
        </w:rPr>
        <w:t xml:space="preserve">投标人</w:t>
      </w:r>
      <w:r>
        <w:rPr>
          <w:rFonts w:hint="eastAsia" w:ascii="仿宋" w:hAnsi="仿宋" w:eastAsia="仿宋" w:cs="仿宋"/>
          <w:bCs/>
          <w:color w:val="auto"/>
          <w:sz w:val="28"/>
          <w:szCs w:val="28"/>
          <w:highlight w:val="none"/>
          <w:lang w:val="zh-CN"/>
        </w:rPr>
        <w:t xml:space="preserve">自负。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可以按第7条规定，通过修改招标文件有权酌情延长投标文件接收截止时间。在此情况下，投标人的所有权利和义务以及投标人受制约的截止日期均应以延长</w:t>
      </w:r>
      <w:r>
        <w:rPr>
          <w:rFonts w:hint="eastAsia" w:ascii="仿宋" w:hAnsi="仿宋" w:eastAsia="仿宋" w:cs="仿宋"/>
          <w:color w:val="auto"/>
          <w:sz w:val="28"/>
          <w:szCs w:val="28"/>
          <w:highlight w:val="none"/>
          <w:lang w:eastAsia="zh-CN"/>
        </w:rPr>
        <w:t xml:space="preserve">后</w:t>
      </w:r>
      <w:r>
        <w:rPr>
          <w:rFonts w:hint="eastAsia" w:ascii="仿宋" w:hAnsi="仿宋" w:eastAsia="仿宋" w:cs="仿宋"/>
          <w:color w:val="auto"/>
          <w:sz w:val="28"/>
          <w:szCs w:val="28"/>
          <w:highlight w:val="none"/>
        </w:rPr>
        <w:t xml:space="preserve">的截止日期为准。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19.投标文件被拒绝接收的情形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19.1在招标文件规定的提交投标文件截止时间后上传的电子投标文件。</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20.投标文件的修改和撤回</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.2投标人不得在开标时间以后修改电子投标文件。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.3投标人不得在提交电子投标文件截止时间起至投标有效期满前撤回电子投标文件。</w:t>
      </w:r>
      <w:r/>
    </w:p>
    <w:p>
      <w:pPr>
        <w:numPr>
          <w:ilvl w:val="0"/>
          <w:numId w:val="0"/>
        </w:numPr>
        <w:spacing w:line="520" w:lineRule="exact"/>
        <w:rPr>
          <w:rFonts w:hint="eastAsia" w:ascii="仿宋" w:hAnsi="仿宋" w:eastAsia="仿宋" w:cs="仿宋"/>
          <w:b/>
          <w:color w:val="auto"/>
          <w:sz w:val="32"/>
          <w:szCs w:val="32"/>
          <w:highlight w:val="none"/>
        </w:rPr>
      </w:pPr>
      <w:r/>
      <w:bookmarkStart w:id="10" w:name="_Toc162083530"/>
      <w:r>
        <w:rPr>
          <w:rFonts w:hint="eastAsia" w:ascii="仿宋" w:hAnsi="仿宋" w:eastAsia="仿宋" w:cs="仿宋"/>
          <w:b/>
          <w:color w:val="auto"/>
          <w:sz w:val="32"/>
          <w:szCs w:val="32"/>
          <w:lang w:val="en-US" w:eastAsia="zh-CN" w:bidi="ar-SA"/>
        </w:rPr>
        <w:t xml:space="preserve">五、</w:t>
      </w:r>
      <w:r>
        <w:rPr>
          <w:rFonts w:hint="eastAsia" w:ascii="仿宋" w:hAnsi="仿宋" w:eastAsia="仿宋" w:cs="仿宋"/>
          <w:b/>
          <w:color w:val="auto"/>
          <w:sz w:val="32"/>
          <w:szCs w:val="32"/>
          <w:highlight w:val="none"/>
        </w:rPr>
        <w:t xml:space="preserve">开标及评标</w:t>
      </w:r>
      <w:bookmarkEnd w:id="10"/>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highlight w:val="none"/>
        </w:rPr>
        <w:t xml:space="preserve">.开标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highlight w:val="none"/>
        </w:rPr>
        <w:t xml:space="preserve">2开标仪式由</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组织。苏采云系统将自动对项目进行开标，并宣布各投标人名称和投标价格。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highlight w:val="none"/>
        </w:rPr>
        <w:t xml:space="preserve">.3投标人在开标过程中</w:t>
      </w:r>
      <w:r>
        <w:rPr>
          <w:rFonts w:hint="eastAsia" w:ascii="仿宋" w:hAnsi="仿宋" w:eastAsia="仿宋" w:cs="仿宋"/>
          <w:color w:val="auto"/>
          <w:sz w:val="28"/>
          <w:szCs w:val="28"/>
          <w:highlight w:val="none"/>
          <w:lang w:eastAsia="zh-CN"/>
        </w:rPr>
        <w:t xml:space="preserve">涉及的</w:t>
      </w:r>
      <w:r>
        <w:rPr>
          <w:rFonts w:hint="eastAsia" w:ascii="仿宋" w:hAnsi="仿宋" w:eastAsia="仿宋" w:cs="仿宋"/>
          <w:color w:val="auto"/>
          <w:sz w:val="28"/>
          <w:szCs w:val="28"/>
          <w:highlight w:val="none"/>
        </w:rPr>
        <w:t xml:space="preserve">投标文件解密、开标结果确认等工作，应按照《操作手册》规定执行。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8"/>
          <w:szCs w:val="28"/>
          <w:highlight w:val="none"/>
        </w:rPr>
      </w:pPr>
      <w:r/>
      <w:bookmarkStart w:id="11" w:name="_Toc16938547"/>
      <w:r/>
      <w:bookmarkStart w:id="12" w:name="_Toc20823303"/>
      <w:r/>
      <w:bookmarkStart w:id="13" w:name="_Toc513029231"/>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.评标委员会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.1开标后，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将立即组织评标委员会（以下简称评委会）进行评标。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.2 评委会由采购人代表和有关技术、经济等方面的专家组成，且人员构成符合政府采购有关规定。</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.3评委会独立工作，负责评审所有投标文件并确定中标</w:t>
      </w:r>
      <w:r>
        <w:rPr>
          <w:rFonts w:hint="eastAsia" w:ascii="仿宋" w:hAnsi="仿宋" w:eastAsia="仿宋" w:cs="仿宋"/>
          <w:color w:val="auto"/>
          <w:sz w:val="28"/>
          <w:szCs w:val="28"/>
          <w:highlight w:val="none"/>
          <w:lang w:eastAsia="zh-CN"/>
        </w:rPr>
        <w:t xml:space="preserve">候</w:t>
      </w:r>
      <w:r>
        <w:rPr>
          <w:rFonts w:hint="eastAsia" w:ascii="仿宋" w:hAnsi="仿宋" w:eastAsia="仿宋" w:cs="仿宋"/>
          <w:color w:val="auto"/>
          <w:sz w:val="28"/>
          <w:szCs w:val="28"/>
          <w:highlight w:val="none"/>
        </w:rPr>
        <w:t xml:space="preserve">选人。</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评标过程的保密与公正</w:t>
      </w:r>
      <w:bookmarkEnd w:id="11"/>
      <w:r/>
      <w:bookmarkEnd w:id="12"/>
      <w:r/>
      <w:bookmarkEnd w:id="13"/>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.1凡是与审查、澄清、评价和比较投标的有关资料以及授标建议等，采购人、评委、</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均不得向投标人或与评标无关的其他人员透露。</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.2在评标过程中，投标人不得以任何行为影响评标过程，否则其投标文件将被作为无效投标文件。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.3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和评标委员会不向未中标的投标人解释未中标原因，也不公布评标过程中的相关细节。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8"/>
          <w:szCs w:val="28"/>
          <w:highlight w:val="none"/>
        </w:rPr>
      </w:pPr>
      <w:r/>
      <w:bookmarkStart w:id="14" w:name="_Toc513029232"/>
      <w:r/>
      <w:bookmarkStart w:id="15" w:name="_Toc20823304"/>
      <w:r/>
      <w:bookmarkStart w:id="16" w:name="_Toc16938548"/>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投标文件的澄清</w:t>
      </w:r>
      <w:bookmarkEnd w:id="14"/>
      <w:r/>
      <w:bookmarkEnd w:id="15"/>
      <w:r/>
      <w:bookmarkEnd w:id="16"/>
      <w:r/>
      <w:r/>
    </w:p>
    <w:p>
      <w:pPr>
        <w:ind w:firstLine="560"/>
        <w:spacing w:line="520" w:lineRule="exact"/>
        <w:rPr>
          <w:rFonts w:hint="eastAsia" w:ascii="仿宋" w:hAnsi="仿宋" w:eastAsia="仿宋" w:cs="仿宋"/>
          <w:color w:val="auto"/>
          <w:sz w:val="28"/>
          <w:szCs w:val="28"/>
          <w:highlight w:val="none"/>
        </w:rPr>
      </w:pPr>
      <w:r/>
      <w:bookmarkStart w:id="17" w:name="_Toc513029233"/>
      <w:r/>
      <w:bookmarkStart w:id="18" w:name="_Toc16938549"/>
      <w:r/>
      <w:bookmarkStart w:id="19" w:name="_Toc20823305"/>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评委会并非对每个投标人都做澄清要求。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.2需要</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进行澄清、说明和补正的，评委会将通过苏采云系统向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发出“澄清要求函”，接到“澄清要求函”的投标人应当按照要求在苏采云系统中提交“澄清响应函”并加盖CA</w:t>
      </w:r>
      <w:r>
        <w:rPr>
          <w:rFonts w:hint="eastAsia" w:ascii="仿宋" w:hAnsi="仿宋" w:eastAsia="仿宋" w:cs="仿宋"/>
          <w:color w:val="auto"/>
          <w:sz w:val="28"/>
          <w:szCs w:val="28"/>
          <w:highlight w:val="none"/>
          <w:lang w:eastAsia="zh-CN"/>
        </w:rPr>
        <w:t xml:space="preserve">电子签章</w:t>
      </w:r>
      <w:r>
        <w:rPr>
          <w:rFonts w:hint="eastAsia" w:ascii="仿宋" w:hAnsi="仿宋" w:eastAsia="仿宋" w:cs="仿宋"/>
          <w:color w:val="auto"/>
          <w:sz w:val="28"/>
          <w:szCs w:val="28"/>
          <w:highlight w:val="none"/>
        </w:rPr>
        <w:t xml:space="preserve">。澄清、说明和补正的内容作为投标文件的补充部分，具体操作方式见《操作手册》。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 接到评委会澄清、说明和补正要求的投标人如未按规定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澄清、说明和补正，其风险由投标人自行承担。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.对投标文件的初审</w:t>
      </w:r>
      <w:bookmarkEnd w:id="17"/>
      <w:r/>
      <w:bookmarkEnd w:id="18"/>
      <w:r/>
      <w:bookmarkEnd w:id="19"/>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.1投标文件初审分为资格审查和符合性审查。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同时通过相关网站进行关联性审查，查询结果留存并归档。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.1.3 未通过资格审查或符合性审查的投标人，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将在苏采云系统中告知未通过资格审查或符合性审查的原因，评审结束后，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将不再告知未通过资格审查或符合性审查的原因。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.3如果投标文件实质上没有响应招标文件的要求，评委会将予以拒绝，投标人不得通过修改或撤销</w:t>
      </w:r>
      <w:r>
        <w:rPr>
          <w:rFonts w:hint="eastAsia" w:ascii="仿宋" w:hAnsi="仿宋" w:eastAsia="仿宋" w:cs="仿宋"/>
          <w:color w:val="auto"/>
          <w:sz w:val="28"/>
          <w:szCs w:val="28"/>
          <w:highlight w:val="none"/>
          <w:lang w:eastAsia="zh-CN"/>
        </w:rPr>
        <w:t xml:space="preserve">不符</w:t>
      </w:r>
      <w:r>
        <w:rPr>
          <w:rFonts w:hint="eastAsia" w:ascii="仿宋" w:hAnsi="仿宋" w:eastAsia="仿宋" w:cs="仿宋"/>
          <w:color w:val="auto"/>
          <w:sz w:val="28"/>
          <w:szCs w:val="28"/>
          <w:highlight w:val="none"/>
        </w:rPr>
        <w:t xml:space="preserve">合要求的偏离或保留而使其投标成为实质性响应的投标。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.4评委会将对确定为实质性响应的投标进行进一步审核，看其是否有计算上或累加上的算术错误，修正错误的原则如下：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.5评委会将按上述修正错误的方法调整投标文件中的投标报价，并通过苏采云系统告知投标人，调整后的价格</w:t>
      </w:r>
      <w:r>
        <w:rPr>
          <w:rFonts w:hint="eastAsia" w:ascii="仿宋" w:hAnsi="仿宋" w:eastAsia="仿宋" w:cs="仿宋"/>
          <w:color w:val="auto"/>
          <w:sz w:val="28"/>
          <w:szCs w:val="28"/>
          <w:highlight w:val="none"/>
          <w:lang w:eastAsia="zh-CN"/>
        </w:rPr>
        <w:t xml:space="preserve">对</w:t>
      </w:r>
      <w:r>
        <w:rPr>
          <w:rFonts w:hint="eastAsia" w:ascii="仿宋" w:hAnsi="仿宋" w:eastAsia="仿宋" w:cs="仿宋"/>
          <w:color w:val="auto"/>
          <w:sz w:val="28"/>
          <w:szCs w:val="28"/>
          <w:highlight w:val="none"/>
        </w:rPr>
        <w:t xml:space="preserve">投标人具有约束力。如果投标人不接受修正后的价格，则其投标将被拒绝。</w:t>
      </w:r>
      <w:r/>
    </w:p>
    <w:p>
      <w:pPr>
        <w:ind w:firstLine="560"/>
        <w:spacing w:line="520" w:lineRule="exact"/>
        <w:rPr>
          <w:rFonts w:hint="eastAsia" w:ascii="仿宋" w:hAnsi="仿宋" w:eastAsia="仿宋" w:cs="仿宋"/>
          <w:color w:val="auto"/>
          <w:sz w:val="28"/>
          <w:szCs w:val="28"/>
          <w:highlight w:val="none"/>
        </w:rPr>
      </w:pPr>
      <w:r/>
      <w:bookmarkStart w:id="20" w:name="_Toc513029234"/>
      <w:r/>
      <w:bookmarkStart w:id="21" w:name="_Toc16938550"/>
      <w:r/>
      <w:bookmarkStart w:id="22" w:name="_Toc20823306"/>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非单一产品采购项目，招标文件中将载明其中的核心产品（</w:t>
      </w:r>
      <w:r>
        <w:rPr>
          <w:rFonts w:hint="eastAsia" w:ascii="仿宋" w:hAnsi="仿宋" w:eastAsia="仿宋" w:cs="仿宋"/>
          <w:color w:val="auto"/>
          <w:sz w:val="28"/>
          <w:szCs w:val="28"/>
          <w:highlight w:val="none"/>
          <w:lang w:val="en-US" w:eastAsia="zh-CN"/>
        </w:rPr>
        <w:t xml:space="preserve">国宝厅第1项专业玻璃展柜、临展厅第1项专业玻璃展柜、瓷器厅第1项专业玻璃展柜</w:t>
      </w:r>
      <w:r>
        <w:rPr>
          <w:rFonts w:hint="eastAsia" w:ascii="仿宋" w:hAnsi="仿宋" w:eastAsia="仿宋" w:cs="仿宋"/>
          <w:color w:val="auto"/>
          <w:sz w:val="28"/>
          <w:szCs w:val="28"/>
          <w:highlight w:val="none"/>
        </w:rPr>
        <w:t xml:space="preserve">）。多家投标人提供的核心产品品牌相同的，按前两款规定处理。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.7投标人在开、评标全过程中应</w:t>
      </w:r>
      <w:r>
        <w:rPr>
          <w:rFonts w:hint="eastAsia" w:ascii="仿宋" w:hAnsi="仿宋" w:eastAsia="仿宋" w:cs="仿宋"/>
          <w:color w:val="auto"/>
          <w:sz w:val="28"/>
          <w:szCs w:val="28"/>
          <w:highlight w:val="none"/>
          <w:lang w:eastAsia="zh-CN"/>
        </w:rPr>
        <w:t xml:space="preserve">保持通信畅通</w:t>
      </w:r>
      <w:r>
        <w:rPr>
          <w:rFonts w:hint="eastAsia" w:ascii="仿宋" w:hAnsi="仿宋" w:eastAsia="仿宋" w:cs="仿宋"/>
          <w:color w:val="auto"/>
          <w:sz w:val="28"/>
          <w:szCs w:val="28"/>
          <w:highlight w:val="none"/>
        </w:rPr>
        <w:t xml:space="preserve">，及时登录苏采云系统查阅、答复相关信息，并安排专人与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及评标委员会联系。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20"/>
      <w:r/>
      <w:bookmarkEnd w:id="21"/>
      <w:r/>
      <w:bookmarkEnd w:id="22"/>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.无效投标条款和废标条款</w:t>
      </w:r>
      <w:r/>
    </w:p>
    <w:p>
      <w:pPr>
        <w:ind w:firstLine="560"/>
        <w:spacing w:line="520" w:lineRule="exact"/>
        <w:rPr>
          <w:rFonts w:hint="eastAsia" w:ascii="仿宋" w:hAnsi="仿宋" w:eastAsia="仿宋" w:cs="仿宋"/>
          <w:color w:val="auto"/>
          <w:sz w:val="28"/>
          <w:szCs w:val="28"/>
          <w:highlight w:val="none"/>
        </w:rPr>
      </w:pPr>
      <w:r/>
      <w:bookmarkStart w:id="23" w:name="_Toc20823307"/>
      <w:r/>
      <w:bookmarkStart w:id="24" w:name="_Toc16938551"/>
      <w:r/>
      <w:bookmarkStart w:id="25" w:name="_Toc513029235"/>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.1无效投标条款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.1.1投标人在苏采云系统规定的时间内未成功解密电子投标文件的。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.1.2投标人未按照招标文件要求上传电子投标文件的。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.1.3同一投标人提交两个（含两个）以上不同的投标报价的。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.1.4投标人不具备招标文件中规</w:t>
      </w:r>
      <w:r>
        <w:rPr>
          <w:rFonts w:hint="eastAsia" w:ascii="仿宋" w:hAnsi="仿宋" w:eastAsia="仿宋" w:cs="仿宋"/>
          <w:color w:val="auto"/>
          <w:sz w:val="28"/>
          <w:szCs w:val="28"/>
          <w:highlight w:val="none"/>
          <w:lang w:eastAsia="zh-CN"/>
        </w:rPr>
        <w:t xml:space="preserve">定的</w:t>
      </w:r>
      <w:r>
        <w:rPr>
          <w:rFonts w:hint="eastAsia" w:ascii="仿宋" w:hAnsi="仿宋" w:eastAsia="仿宋" w:cs="仿宋"/>
          <w:color w:val="auto"/>
          <w:sz w:val="28"/>
          <w:szCs w:val="28"/>
          <w:highlight w:val="none"/>
        </w:rPr>
        <w:t xml:space="preserve">资格要求的。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.1.5投标人的报价超过了采购预算或最高限价的。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.1.6未通过符合性审查的。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.1.7不符合招标文件中规定的实质性要求和条件的（实质性要求和条件是指本招标文件中用带星号（“★”）的商务和技术要求）。</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.1.8 投标人被 “信用中国”网站（www.creditchina.gov.cn）列入失信被执行人或重大税收违法案件当事人名单或政府采购严重失信行为</w:t>
      </w:r>
      <w:r>
        <w:rPr>
          <w:rFonts w:hint="eastAsia" w:ascii="仿宋" w:hAnsi="仿宋" w:eastAsia="仿宋" w:cs="仿宋"/>
          <w:b w:val="0"/>
          <w:bCs w:val="0"/>
          <w:color w:val="auto"/>
          <w:sz w:val="28"/>
          <w:szCs w:val="28"/>
          <w:highlight w:val="none"/>
        </w:rPr>
        <w:t xml:space="preserve">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w:t>
      </w: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.1.9 投标文件含有采购人不能接受的附加条件的。</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b w:val="0"/>
          <w:bCs w:val="0"/>
          <w:color w:val="auto"/>
          <w:sz w:val="28"/>
          <w:szCs w:val="28"/>
        </w:rPr>
        <w:t xml:space="preserve">2</w:t>
      </w:r>
      <w:r>
        <w:rPr>
          <w:rFonts w:hint="eastAsia" w:ascii="仿宋" w:hAnsi="仿宋" w:eastAsia="仿宋"/>
          <w:b w:val="0"/>
          <w:bCs w:val="0"/>
          <w:color w:val="auto"/>
          <w:sz w:val="28"/>
          <w:szCs w:val="28"/>
          <w:lang w:val="en-US" w:eastAsia="zh-CN"/>
        </w:rPr>
        <w:t xml:space="preserve">6</w:t>
      </w:r>
      <w:r>
        <w:rPr>
          <w:rFonts w:hint="eastAsia" w:ascii="仿宋" w:hAnsi="仿宋" w:eastAsia="仿宋"/>
          <w:b w:val="0"/>
          <w:bCs w:val="0"/>
          <w:color w:val="auto"/>
          <w:sz w:val="28"/>
          <w:szCs w:val="28"/>
        </w:rPr>
        <w:t xml:space="preserve">.1.</w:t>
      </w:r>
      <w:r>
        <w:rPr>
          <w:rFonts w:ascii="仿宋" w:hAnsi="仿宋" w:eastAsia="仿宋"/>
          <w:b w:val="0"/>
          <w:bCs w:val="0"/>
          <w:color w:val="auto"/>
          <w:sz w:val="28"/>
          <w:szCs w:val="28"/>
        </w:rPr>
        <w:t xml:space="preserve">10</w:t>
      </w:r>
      <w:r>
        <w:rPr>
          <w:rFonts w:hint="eastAsia" w:ascii="仿宋" w:hAnsi="仿宋" w:eastAsia="仿宋"/>
          <w:b w:val="0"/>
          <w:bCs w:val="0"/>
          <w:color w:val="auto"/>
          <w:sz w:val="28"/>
          <w:szCs w:val="28"/>
        </w:rPr>
        <w:t xml:space="preserve">评标委员会认为投标人的报价</w:t>
      </w:r>
      <w:r>
        <w:rPr>
          <w:rFonts w:hint="eastAsia" w:ascii="仿宋" w:hAnsi="仿宋" w:eastAsia="仿宋"/>
          <w:b w:val="0"/>
          <w:bCs w:val="0"/>
          <w:color w:val="auto"/>
          <w:sz w:val="28"/>
          <w:szCs w:val="28"/>
          <w:lang w:eastAsia="zh-CN"/>
        </w:rPr>
        <w:t xml:space="preserve">属于《关于推动解决政府采购异常低价问题相关工作的通知》（苏财购〔2025〕62号）</w:t>
      </w:r>
      <w:r>
        <w:rPr>
          <w:rFonts w:hint="eastAsia" w:ascii="仿宋" w:hAnsi="仿宋" w:eastAsia="仿宋"/>
          <w:b w:val="0"/>
          <w:bCs w:val="0"/>
          <w:color w:val="auto"/>
          <w:sz w:val="28"/>
          <w:szCs w:val="28"/>
          <w:lang w:val="en-US" w:eastAsia="zh-CN"/>
        </w:rPr>
        <w:t xml:space="preserve">异常低价情形的，</w:t>
      </w:r>
      <w:r>
        <w:rPr>
          <w:rFonts w:hint="eastAsia" w:ascii="仿宋" w:hAnsi="仿宋" w:eastAsia="仿宋" w:cs="仿宋"/>
          <w:b w:val="0"/>
          <w:bCs w:val="0"/>
          <w:color w:val="auto"/>
          <w:sz w:val="28"/>
          <w:szCs w:val="28"/>
          <w:highlight w:val="none"/>
        </w:rPr>
        <w:t xml:space="preserve">当投标报价低于采购项目预算50%的，即投标报价＜采购项目预算×50%时，</w:t>
      </w:r>
      <w:r>
        <w:rPr>
          <w:rFonts w:hint="eastAsia" w:ascii="仿宋" w:hAnsi="仿宋" w:eastAsia="仿宋"/>
          <w:b w:val="0"/>
          <w:bCs w:val="0"/>
          <w:color w:val="auto"/>
          <w:sz w:val="28"/>
          <w:szCs w:val="28"/>
        </w:rPr>
        <w:t xml:space="preserve">将通过苏采云系统</w:t>
      </w:r>
      <w:r>
        <w:rPr>
          <w:rFonts w:hint="eastAsia" w:ascii="仿宋" w:hAnsi="仿宋" w:eastAsia="仿宋"/>
          <w:b w:val="0"/>
          <w:bCs w:val="0"/>
          <w:color w:val="auto"/>
          <w:sz w:val="28"/>
          <w:szCs w:val="28"/>
          <w:lang w:eastAsia="zh-CN"/>
        </w:rPr>
        <w:t xml:space="preserve">，按照苏财购〔2025〕62号文件要求启动异常低价投标审查程序，</w:t>
      </w:r>
      <w:r>
        <w:rPr>
          <w:rFonts w:hint="eastAsia" w:ascii="仿宋" w:hAnsi="仿宋" w:eastAsia="仿宋" w:cs="仿宋"/>
          <w:b w:val="0"/>
          <w:bCs w:val="0"/>
          <w:color w:val="auto"/>
          <w:sz w:val="28"/>
          <w:szCs w:val="28"/>
          <w:highlight w:val="none"/>
        </w:rPr>
        <w:t xml:space="preserve">启动异常低价投标审查后，评标委员会将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560"/>
        <w:spacing w:line="52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2</w:t>
      </w: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.1.11按照第3</w:t>
      </w: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cs="仿宋"/>
          <w:b w:val="0"/>
          <w:bCs w:val="0"/>
          <w:color w:val="auto"/>
          <w:sz w:val="28"/>
          <w:szCs w:val="28"/>
          <w:highlight w:val="none"/>
          <w:lang w:eastAsia="zh-CN"/>
        </w:rPr>
        <w:t xml:space="preserve">。</w:t>
      </w:r>
      <w:r/>
    </w:p>
    <w:p>
      <w:pPr>
        <w:ind w:firstLine="560"/>
        <w:spacing w:line="52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2</w:t>
      </w: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.1.12 投标文件未按照招标文件要求加盖CA</w:t>
      </w:r>
      <w:r>
        <w:rPr>
          <w:rFonts w:hint="eastAsia" w:ascii="仿宋" w:hAnsi="仿宋" w:eastAsia="仿宋" w:cs="仿宋"/>
          <w:b w:val="0"/>
          <w:bCs w:val="0"/>
          <w:color w:val="auto"/>
          <w:sz w:val="28"/>
          <w:szCs w:val="28"/>
          <w:highlight w:val="none"/>
          <w:lang w:eastAsia="zh-CN"/>
        </w:rPr>
        <w:t xml:space="preserve">电子签章</w:t>
      </w:r>
      <w:r>
        <w:rPr>
          <w:rFonts w:hint="eastAsia" w:ascii="仿宋" w:hAnsi="仿宋" w:eastAsia="仿宋" w:cs="仿宋"/>
          <w:b w:val="0"/>
          <w:bCs w:val="0"/>
          <w:color w:val="auto"/>
          <w:sz w:val="28"/>
          <w:szCs w:val="28"/>
          <w:highlight w:val="none"/>
        </w:rPr>
        <w:t xml:space="preserve">的</w:t>
      </w:r>
      <w:r>
        <w:rPr>
          <w:rFonts w:hint="eastAsia" w:ascii="仿宋" w:hAnsi="仿宋" w:eastAsia="仿宋" w:cs="仿宋"/>
          <w:b w:val="0"/>
          <w:bCs w:val="0"/>
          <w:color w:val="auto"/>
          <w:sz w:val="28"/>
          <w:szCs w:val="28"/>
          <w:highlight w:val="none"/>
          <w:lang w:eastAsia="zh-CN"/>
        </w:rPr>
        <w:t xml:space="preserve">。</w:t>
      </w:r>
      <w:r/>
    </w:p>
    <w:p>
      <w:pPr>
        <w:ind w:firstLine="562"/>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26.1.13投标人所投产品技术参数未完全满足招标文件第五章“采购清单及具体</w:t>
      </w:r>
      <w:r>
        <w:rPr>
          <w:rFonts w:hint="eastAsia" w:ascii="仿宋" w:hAnsi="仿宋" w:eastAsia="仿宋" w:cs="仿宋"/>
          <w:b w:val="0"/>
          <w:bCs w:val="0"/>
          <w:color w:val="auto"/>
          <w:sz w:val="28"/>
          <w:szCs w:val="28"/>
          <w:lang w:val="en-US" w:eastAsia="zh-CN"/>
        </w:rPr>
        <w:t xml:space="preserve">项目技术参数要求</w:t>
      </w:r>
      <w:r>
        <w:rPr>
          <w:rFonts w:hint="eastAsia" w:ascii="仿宋" w:hAnsi="仿宋" w:eastAsia="仿宋" w:cs="仿宋"/>
          <w:b w:val="0"/>
          <w:bCs w:val="0"/>
          <w:color w:val="auto"/>
          <w:sz w:val="28"/>
          <w:szCs w:val="28"/>
          <w:highlight w:val="none"/>
          <w:lang w:val="en-US" w:eastAsia="zh-CN"/>
        </w:rPr>
        <w:t xml:space="preserve">中标注“★”部分要求的。</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w:t>
      </w: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.1.1</w:t>
      </w: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其他法律、法规及本招标文件规定的属</w:t>
      </w:r>
      <w:r>
        <w:rPr>
          <w:rFonts w:hint="eastAsia" w:ascii="仿宋" w:hAnsi="仿宋" w:eastAsia="仿宋" w:cs="仿宋"/>
          <w:b w:val="0"/>
          <w:bCs w:val="0"/>
          <w:color w:val="auto"/>
          <w:sz w:val="28"/>
          <w:szCs w:val="28"/>
          <w:highlight w:val="none"/>
          <w:lang w:val="en-US" w:eastAsia="zh-CN"/>
        </w:rPr>
        <w:t xml:space="preserve">于</w:t>
      </w:r>
      <w:r>
        <w:rPr>
          <w:rFonts w:hint="eastAsia" w:ascii="仿宋" w:hAnsi="仿宋" w:eastAsia="仿宋" w:cs="仿宋"/>
          <w:b w:val="0"/>
          <w:bCs w:val="0"/>
          <w:color w:val="auto"/>
          <w:sz w:val="28"/>
          <w:szCs w:val="28"/>
          <w:highlight w:val="none"/>
        </w:rPr>
        <w:t xml:space="preserve">无效投标的情形。</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w:t>
      </w: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.2废标条款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.2.1符合专业条件的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或者对招标文件作实质响应的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.2.2出现影响采购公正的违法、违规行为的。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.2.3因重大变故，采购任务取消的。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.2.4评标委员会认定招标文件存在歧义、重大缺陷导致评审工作无法进行。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.2.5 因苏采云</w:t>
      </w:r>
      <w:r>
        <w:rPr>
          <w:rFonts w:hint="eastAsia" w:ascii="仿宋" w:hAnsi="仿宋" w:eastAsia="仿宋" w:cs="仿宋"/>
          <w:color w:val="auto"/>
          <w:sz w:val="28"/>
          <w:szCs w:val="28"/>
          <w:highlight w:val="none"/>
          <w:lang w:eastAsia="zh-CN"/>
        </w:rPr>
        <w:t xml:space="preserve">系统故障</w:t>
      </w:r>
      <w:r>
        <w:rPr>
          <w:rFonts w:hint="eastAsia" w:ascii="仿宋" w:hAnsi="仿宋" w:eastAsia="仿宋" w:cs="仿宋"/>
          <w:color w:val="auto"/>
          <w:sz w:val="28"/>
          <w:szCs w:val="28"/>
          <w:highlight w:val="none"/>
        </w:rPr>
        <w:t xml:space="preserve">原因造成开标不成功的。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.3 投标截止时间结束后参加投标的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不足三家的处理：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.3.1如出现投标截止时间结束后参加投标的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或者在评标期间对招标文件做出实质响应的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不足三家情况，按政府采购相关规定执行。</w:t>
      </w:r>
      <w:bookmarkEnd w:id="23"/>
      <w:bookmarkEnd w:id="24"/>
      <w:bookmarkEnd w:id="25"/>
      <w:r/>
    </w:p>
    <w:p>
      <w:pPr>
        <w:numPr>
          <w:ilvl w:val="0"/>
          <w:numId w:val="0"/>
        </w:numPr>
        <w:ind w:firstLine="482"/>
        <w:spacing w:line="520" w:lineRule="exact"/>
        <w:rPr>
          <w:rFonts w:hint="eastAsia" w:ascii="仿宋" w:hAnsi="仿宋" w:eastAsia="仿宋" w:cs="仿宋"/>
          <w:b/>
          <w:color w:val="auto"/>
          <w:sz w:val="32"/>
          <w:szCs w:val="32"/>
          <w:highlight w:val="none"/>
        </w:rPr>
      </w:pPr>
      <w:r/>
      <w:bookmarkStart w:id="26" w:name="_Toc120614219"/>
      <w:r>
        <w:rPr>
          <w:rFonts w:hint="eastAsia" w:ascii="仿宋" w:hAnsi="仿宋" w:eastAsia="仿宋" w:cs="仿宋"/>
          <w:b/>
          <w:color w:val="auto"/>
          <w:sz w:val="32"/>
          <w:szCs w:val="32"/>
          <w:lang w:val="en-US" w:eastAsia="zh-CN" w:bidi="ar-SA"/>
        </w:rPr>
        <w:t xml:space="preserve">六、</w:t>
      </w:r>
      <w:r>
        <w:rPr>
          <w:rFonts w:hint="eastAsia" w:ascii="仿宋" w:hAnsi="仿宋" w:eastAsia="仿宋" w:cs="仿宋"/>
          <w:b/>
          <w:color w:val="auto"/>
          <w:sz w:val="32"/>
          <w:szCs w:val="32"/>
          <w:highlight w:val="none"/>
        </w:rPr>
        <w:t xml:space="preserve">定标</w:t>
      </w:r>
      <w:bookmarkEnd w:id="26"/>
      <w:r/>
      <w:r/>
    </w:p>
    <w:p>
      <w:pPr>
        <w:spacing w:line="520" w:lineRule="exact"/>
        <w:rPr>
          <w:rFonts w:hint="eastAsia" w:ascii="仿宋" w:hAnsi="仿宋" w:eastAsia="仿宋" w:cs="仿宋"/>
          <w:color w:val="auto"/>
          <w:sz w:val="28"/>
          <w:szCs w:val="28"/>
          <w:highlight w:val="none"/>
        </w:rPr>
      </w:pPr>
      <w:r/>
      <w:bookmarkStart w:id="27" w:name="_Toc513029238"/>
      <w:r/>
      <w:bookmarkStart w:id="28" w:name="_Toc20823310"/>
      <w:r/>
      <w:bookmarkStart w:id="29" w:name="_Toc16938554"/>
      <w:r>
        <w:rPr>
          <w:rFonts w:hint="eastAsia" w:ascii="仿宋" w:hAnsi="仿宋" w:eastAsia="仿宋" w:cs="仿宋"/>
          <w:color w:val="auto"/>
          <w:sz w:val="28"/>
          <w:szCs w:val="28"/>
          <w:highlight w:val="none"/>
        </w:rPr>
        <w:t xml:space="preserve">2</w:t>
      </w:r>
      <w:bookmarkEnd w:id="27"/>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.确定</w:t>
      </w:r>
      <w:bookmarkEnd w:id="28"/>
      <w:r/>
      <w:bookmarkEnd w:id="29"/>
      <w:r>
        <w:rPr>
          <w:rFonts w:hint="eastAsia" w:ascii="仿宋" w:hAnsi="仿宋" w:eastAsia="仿宋" w:cs="仿宋"/>
          <w:color w:val="auto"/>
          <w:sz w:val="28"/>
          <w:szCs w:val="28"/>
          <w:highlight w:val="none"/>
        </w:rPr>
        <w:t xml:space="preserve">中标单位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.1中标候选人的选取原则和数量见招标文件第三章规定。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.2 采购人应根据评委会推荐的中标候选人确定中标人。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3 </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将在“淮安市政府采购网”发布中标公告，公告期限为1个工作日。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.4若有充分证据证明，中标人出现下列情况之一的，一经查实，将被取消中标资格：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.4.1提供虚假材料谋取中标的。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.4.2向采购人、</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行贿或者提供其他不正当利益的。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.4.3属于本文件规定的无效条件，但在评标过程中又未被评委会发现的。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.4.4与采购人或者其他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恶意串通的。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.4.5采取不正当手段诋毁、排挤其他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w:t>
      </w:r>
      <w:r/>
    </w:p>
    <w:p>
      <w:pPr>
        <w:ind w:firstLine="560"/>
        <w:spacing w:line="520" w:lineRule="exact"/>
        <w:rPr>
          <w:rFonts w:hint="eastAsia" w:ascii="仿宋" w:hAnsi="仿宋" w:eastAsia="仿宋" w:cs="仿宋"/>
          <w:color w:val="auto"/>
          <w:sz w:val="28"/>
          <w:szCs w:val="28"/>
          <w:highlight w:val="none"/>
        </w:rPr>
      </w:pPr>
      <w:r/>
      <w:bookmarkStart w:id="30" w:name="_Toc200451960"/>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.5.有下列情形之一的，视为投标人串通投标，投标无效：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.5.1不同投标人的投标文件由同一单位或者个人编制；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.5.2不同投标人委托同一单位或者个人办理投标事宜；</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.5.3 不同投标人的投标文件载明的项目管理成员或者联系人员为同一人；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.5.4不同投标人的投标文件异常一致或者投标报价呈规律性差异；</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质疑处理</w:t>
      </w:r>
      <w:bookmarkEnd w:id="30"/>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.1投标人认为采购文件、采购过程和中标结果使自己的权益受到损害的，可以在知道或者应知其权益受到损害之日起七个工作日内，以电子文件形式通过“苏采云平台”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&gt;“</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“登录，从”项目质疑申请”模块提出质疑。未通过交易平台提交的、七个工作日之外以及未按2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.5条的要求提供质疑的均不予受理。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.2上述应知其权益受到损害之日是指</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.4质疑投标人在法定质疑期内应当一次性针对同一采购环节提出质疑。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.5质疑函应当包括以下主要内容，附上相关证明材料。否则，</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w:t>
      </w:r>
      <w:r>
        <w:rPr>
          <w:rFonts w:hint="eastAsia" w:ascii="仿宋" w:hAnsi="仿宋" w:eastAsia="仿宋" w:cs="仿宋"/>
          <w:color w:val="auto"/>
          <w:sz w:val="28"/>
          <w:szCs w:val="28"/>
          <w:highlight w:val="none"/>
          <w:lang w:eastAsia="zh-CN"/>
        </w:rPr>
        <w:t xml:space="preserve">电子签章</w:t>
      </w:r>
      <w:r>
        <w:rPr>
          <w:rFonts w:hint="eastAsia" w:ascii="仿宋" w:hAnsi="仿宋" w:eastAsia="仿宋" w:cs="仿宋"/>
          <w:color w:val="auto"/>
          <w:sz w:val="28"/>
          <w:szCs w:val="28"/>
          <w:highlight w:val="none"/>
        </w:rPr>
        <w:t xml:space="preserve">。授权代表签字的，还需提供法定代表人出具的办理质疑事项授权书（授权中必须载明具体权限、期限和事项）</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收到质疑函后，将对质疑的形式和内容进行审查，如质疑函内容、格式不符合规定，</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.7对于内容、格式符合规定的质疑函，</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联系索取，或者在质疑函中明确提出该要求。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.8投标人提出的质疑必须有理、有据，不得恶意质疑或提交虚假质疑。否则，一经查实，</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.中标通知书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.l中标结果确定后，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将向中标人发出中标通知书。请中标人在中标结果公告届满之日起30日内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因未及时下载而造成的不利后果由中标人自行承担。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.2中标通知书将是合同的一个组成部分。对采购人和中标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均具有法律效力。中标通知书发出后，采购人改变中标结果的，或者中标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放弃中标项目的，应当依法承担法律责任。</w:t>
      </w:r>
      <w:r/>
    </w:p>
    <w:p>
      <w:pPr>
        <w:numPr>
          <w:ilvl w:val="0"/>
          <w:numId w:val="0"/>
        </w:numPr>
        <w:ind w:firstLine="482"/>
        <w:spacing w:line="520" w:lineRule="exact"/>
        <w:rPr>
          <w:rFonts w:hint="eastAsia" w:ascii="仿宋" w:hAnsi="仿宋" w:eastAsia="仿宋" w:cs="仿宋"/>
          <w:b/>
          <w:color w:val="auto"/>
          <w:sz w:val="32"/>
          <w:szCs w:val="32"/>
          <w:highlight w:val="none"/>
        </w:rPr>
      </w:pPr>
      <w:r/>
      <w:bookmarkStart w:id="31" w:name="_Toc120614220"/>
      <w:r/>
      <w:bookmarkStart w:id="32" w:name="_Toc20823308"/>
      <w:r/>
      <w:bookmarkStart w:id="33" w:name="_Toc16938552"/>
      <w:r/>
      <w:bookmarkStart w:id="34" w:name="_Toc513029236"/>
      <w:r>
        <w:rPr>
          <w:rFonts w:hint="eastAsia" w:ascii="仿宋" w:hAnsi="仿宋" w:eastAsia="仿宋" w:cs="仿宋"/>
          <w:b/>
          <w:color w:val="auto"/>
          <w:sz w:val="32"/>
          <w:szCs w:val="32"/>
          <w:lang w:val="en-US" w:eastAsia="zh-CN" w:bidi="ar-SA"/>
        </w:rPr>
        <w:t xml:space="preserve">七、</w:t>
      </w:r>
      <w:r>
        <w:rPr>
          <w:rFonts w:hint="eastAsia" w:ascii="仿宋" w:hAnsi="仿宋" w:eastAsia="仿宋" w:cs="仿宋"/>
          <w:b/>
          <w:color w:val="auto"/>
          <w:sz w:val="32"/>
          <w:szCs w:val="32"/>
          <w:highlight w:val="none"/>
        </w:rPr>
        <w:t xml:space="preserve">授予合同</w:t>
      </w:r>
      <w:bookmarkEnd w:id="31"/>
      <w:r/>
      <w:bookmarkEnd w:id="32"/>
      <w:bookmarkEnd w:id="33"/>
      <w:bookmarkEnd w:id="34"/>
      <w:r/>
    </w:p>
    <w:p>
      <w:pPr>
        <w:spacing w:line="520" w:lineRule="exact"/>
        <w:rPr>
          <w:rFonts w:hint="eastAsia" w:ascii="仿宋" w:hAnsi="仿宋" w:eastAsia="仿宋" w:cs="仿宋"/>
          <w:color w:val="auto"/>
          <w:sz w:val="28"/>
          <w:szCs w:val="28"/>
          <w:highlight w:val="none"/>
        </w:rPr>
      </w:pPr>
      <w:r/>
      <w:bookmarkStart w:id="35" w:name="_Toc20823309"/>
      <w:r/>
      <w:bookmarkStart w:id="36" w:name="_Toc16938553"/>
      <w:r/>
      <w:bookmarkStart w:id="37" w:name="_Toc513029237"/>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.签订合同</w:t>
      </w:r>
      <w:r>
        <w:rPr>
          <w:rFonts w:hint="eastAsia" w:ascii="仿宋" w:hAnsi="仿宋" w:eastAsia="仿宋" w:cs="仿宋"/>
          <w:color w:val="auto"/>
          <w:sz w:val="28"/>
          <w:szCs w:val="28"/>
          <w:highlight w:val="none"/>
        </w:rPr>
        <w:tab/>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.l中标人应当在中标通知书发出之日起三十日内，按照招标文件确定的事项与采购人签订政府采购合同。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.2招标文件、中标人的投标文件及招标过程中有关澄清、承诺文件均应作为合同附件。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.货物（包含与货物相关的服务）的追加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仿宋" w:hAnsi="仿宋" w:eastAsia="仿宋" w:cs="仿宋"/>
          <w:color w:val="auto"/>
          <w:sz w:val="28"/>
          <w:szCs w:val="28"/>
          <w:highlight w:val="none"/>
          <w:lang w:eastAsia="zh-CN"/>
        </w:rPr>
        <w:t xml:space="preserve">额的</w:t>
      </w:r>
      <w:r>
        <w:rPr>
          <w:rFonts w:hint="eastAsia" w:ascii="仿宋" w:hAnsi="仿宋" w:eastAsia="仿宋" w:cs="仿宋"/>
          <w:color w:val="auto"/>
          <w:sz w:val="28"/>
          <w:szCs w:val="28"/>
          <w:highlight w:val="none"/>
        </w:rPr>
        <w:t xml:space="preserve">10%。</w:t>
      </w:r>
      <w:bookmarkEnd w:id="35"/>
      <w:bookmarkEnd w:id="36"/>
      <w:bookmarkEnd w:id="37"/>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.政府采购履约资金扶持政策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可凭政府采购合同办理融资贷款，详情请见江苏政府采购网“政采贷”专栏。</w:t>
      </w:r>
      <w:r/>
    </w:p>
    <w:p>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 xml:space="preserve">八、政府采购政策功能落实</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促进中小企业发展</w:t>
      </w:r>
      <w:r>
        <w:rPr>
          <w:rFonts w:hint="eastAsia" w:ascii="仿宋" w:hAnsi="仿宋" w:eastAsia="仿宋" w:cs="仿宋"/>
          <w:color w:val="auto"/>
          <w:sz w:val="28"/>
          <w:szCs w:val="28"/>
          <w:highlight w:val="none"/>
        </w:rPr>
        <w:t xml:space="preserve">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.1小微型企业价格扣除</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.1.2在货物采购项目中，</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.2联合体及分包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.3小微型企业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（2）企业标准请参照《政府采购促进中小企业发展管理办法》（财库</w:t>
      </w:r>
      <w:r>
        <w:rPr>
          <w:rFonts w:hint="eastAsia" w:ascii="仿宋" w:hAnsi="仿宋" w:eastAsia="仿宋" w:cs="仿宋"/>
          <w:color w:val="auto"/>
          <w:sz w:val="28"/>
          <w:szCs w:val="28"/>
          <w:highlight w:val="none"/>
          <w:lang w:eastAsia="zh-CN"/>
        </w:rPr>
        <w:t xml:space="preserve">〔2020〕46号</w:t>
      </w:r>
      <w:r>
        <w:rPr>
          <w:rFonts w:hint="eastAsia" w:ascii="仿宋" w:hAnsi="仿宋" w:eastAsia="仿宋" w:cs="仿宋"/>
          <w:color w:val="auto"/>
          <w:sz w:val="28"/>
          <w:szCs w:val="28"/>
          <w:highlight w:val="none"/>
        </w:rPr>
        <w:t xml:space="preserve">）文件规定自行填写。</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.4残疾人福利单位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.5监狱和戒毒企业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cs="仿宋"/>
          <w:color w:val="auto"/>
          <w:sz w:val="28"/>
          <w:szCs w:val="28"/>
          <w:highlight w:val="none"/>
          <w:lang w:eastAsia="zh-CN"/>
        </w:rPr>
        <w:t xml:space="preserve">（在</w:t>
      </w:r>
      <w:r>
        <w:rPr>
          <w:rFonts w:hint="eastAsia" w:ascii="仿宋" w:hAnsi="仿宋" w:eastAsia="仿宋" w:cs="仿宋"/>
          <w:color w:val="auto"/>
          <w:sz w:val="28"/>
          <w:szCs w:val="28"/>
          <w:highlight w:val="none"/>
        </w:rPr>
        <w:t xml:space="preserve">投标文件中上传加盖出具单位公章的电子件）。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.节能、环保政策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.2节能产品</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本项目</w:t>
      </w:r>
      <w:r>
        <w:rPr>
          <w:rFonts w:hint="eastAsia" w:ascii="仿宋" w:hAnsi="仿宋" w:eastAsia="仿宋" w:cs="仿宋"/>
          <w:color w:val="auto"/>
          <w:sz w:val="28"/>
          <w:szCs w:val="28"/>
          <w:highlight w:val="none"/>
          <w:u w:val="single"/>
          <w:lang w:val="en-US" w:eastAsia="zh-CN"/>
        </w:rPr>
        <w:t xml:space="preserve"> / </w:t>
      </w:r>
      <w:r>
        <w:rPr>
          <w:rFonts w:hint="eastAsia" w:ascii="仿宋" w:hAnsi="仿宋" w:eastAsia="仿宋" w:cs="仿宋"/>
          <w:color w:val="auto"/>
          <w:sz w:val="28"/>
          <w:szCs w:val="28"/>
          <w:highlight w:val="none"/>
        </w:rPr>
        <w:t xml:space="preserve">被列入“节能产品品目清单”的，</w:t>
      </w:r>
      <w:r>
        <w:rPr>
          <w:rFonts w:hint="eastAsia" w:ascii="仿宋" w:hAnsi="仿宋" w:eastAsia="仿宋" w:cs="仿宋"/>
          <w:color w:val="auto"/>
          <w:sz w:val="28"/>
          <w:szCs w:val="28"/>
          <w:highlight w:val="none"/>
          <w:u w:val="single"/>
        </w:rPr>
        <w:t xml:space="preserve">实行（优先采购/强制采购）</w:t>
      </w:r>
      <w:r>
        <w:rPr>
          <w:rFonts w:hint="eastAsia" w:ascii="仿宋" w:hAnsi="仿宋" w:eastAsia="仿宋" w:cs="仿宋"/>
          <w:color w:val="auto"/>
          <w:sz w:val="28"/>
          <w:szCs w:val="28"/>
          <w:highlight w:val="none"/>
          <w:u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.3环保产品</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w:t>
      </w:r>
      <w:r>
        <w:rPr>
          <w:rFonts w:hint="eastAsia" w:ascii="仿宋" w:hAnsi="仿宋" w:eastAsia="仿宋" w:cs="仿宋"/>
          <w:color w:val="auto"/>
          <w:sz w:val="28"/>
          <w:szCs w:val="28"/>
          <w:highlight w:val="none"/>
          <w:u w:val="single"/>
          <w:lang w:val="en-US" w:eastAsia="zh-CN"/>
        </w:rPr>
        <w:t xml:space="preserve"> / </w:t>
      </w:r>
      <w:r>
        <w:rPr>
          <w:rFonts w:hint="eastAsia" w:ascii="仿宋" w:hAnsi="仿宋" w:eastAsia="仿宋" w:cs="仿宋"/>
          <w:color w:val="auto"/>
          <w:sz w:val="28"/>
          <w:szCs w:val="28"/>
          <w:highlight w:val="none"/>
          <w:u w:val="none"/>
        </w:rPr>
        <w:t xml:space="preserve">被</w:t>
      </w:r>
      <w:r>
        <w:rPr>
          <w:rFonts w:hint="eastAsia" w:ascii="仿宋" w:hAnsi="仿宋" w:eastAsia="仿宋" w:cs="仿宋"/>
          <w:color w:val="auto"/>
          <w:sz w:val="28"/>
          <w:szCs w:val="28"/>
          <w:highlight w:val="none"/>
        </w:rPr>
        <w:t xml:space="preserve">列入“环境标志产品品目清单”的，实行优先采购。</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.4本项目中实行“强制采购”的，需</w:t>
      </w:r>
      <w:r>
        <w:rPr>
          <w:rFonts w:hint="eastAsia" w:ascii="仿宋" w:hAnsi="仿宋" w:eastAsia="仿宋" w:cs="仿宋"/>
          <w:color w:val="auto"/>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cs="仿宋"/>
          <w:color w:val="auto"/>
          <w:sz w:val="28"/>
          <w:szCs w:val="28"/>
          <w:highlight w:val="none"/>
        </w:rPr>
        <w:t xml:space="preserve">节能产品认证证书电子件</w:t>
      </w:r>
      <w:r>
        <w:rPr>
          <w:rFonts w:hint="eastAsia" w:ascii="仿宋" w:hAnsi="仿宋" w:eastAsia="仿宋" w:cs="仿宋"/>
          <w:b w:val="0"/>
          <w:bCs w:val="0"/>
          <w:color w:val="auto"/>
          <w:sz w:val="28"/>
          <w:highlight w:val="none"/>
        </w:rPr>
        <w:t xml:space="preserve">，未提供的作无效投标处理</w:t>
      </w:r>
      <w:r>
        <w:rPr>
          <w:rFonts w:hint="eastAsia" w:ascii="仿宋" w:hAnsi="仿宋" w:eastAsia="仿宋" w:cs="仿宋"/>
          <w:color w:val="auto"/>
          <w:sz w:val="28"/>
          <w:highlight w:val="none"/>
        </w:rPr>
        <w:t xml:space="preserve">；实行“优先采购”的，在评分标准的“政策导向”处参与加分（详见第三章评标标准）。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3</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政府绿色采购</w:t>
      </w:r>
      <w:r/>
    </w:p>
    <w:p>
      <w:pPr>
        <w:ind w:firstLine="280"/>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68"/>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.2本项目中涉及商品的包装应按照“财办库〔2020〕123号《关于印发《商品包装政府采购需求标准（试行）》、《快递包装政府采购需求标准（试行）的通知》”执行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在供货、安装过程中</w:t>
      </w:r>
      <w:r>
        <w:rPr>
          <w:rFonts w:hint="eastAsia" w:ascii="仿宋" w:hAnsi="仿宋" w:eastAsia="仿宋" w:cs="仿宋"/>
          <w:color w:val="auto"/>
          <w:sz w:val="28"/>
          <w:szCs w:val="28"/>
          <w:highlight w:val="none"/>
          <w:lang w:eastAsia="zh-CN"/>
        </w:rPr>
        <w:t xml:space="preserve">能</w:t>
      </w:r>
      <w:r>
        <w:rPr>
          <w:rFonts w:hint="eastAsia" w:ascii="仿宋" w:hAnsi="仿宋" w:eastAsia="仿宋" w:cs="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s="仿宋"/>
          <w:color w:val="auto"/>
          <w:sz w:val="28"/>
          <w:szCs w:val="28"/>
          <w:highlight w:val="none"/>
          <w:lang w:eastAsia="zh-CN"/>
        </w:rPr>
        <w:t xml:space="preserve">〔2023〕7号</w:t>
      </w:r>
      <w:r>
        <w:rPr>
          <w:rFonts w:hint="eastAsia" w:ascii="仿宋" w:hAnsi="仿宋" w:eastAsia="仿宋" w:cs="仿宋"/>
          <w:color w:val="auto"/>
          <w:sz w:val="28"/>
          <w:szCs w:val="28"/>
          <w:highlight w:val="none"/>
        </w:rPr>
        <w:t xml:space="preserve">文）执行。</w:t>
      </w:r>
      <w:r/>
    </w:p>
    <w:p>
      <w:pPr>
        <w:pStyle w:val="868"/>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pStyle w:val="868"/>
        <w:ind w:left="0" w:firstLine="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.履约资金扶持政策</w:t>
      </w:r>
      <w:r/>
    </w:p>
    <w:p>
      <w:pPr>
        <w:pStyle w:val="868"/>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68"/>
        <w:ind w:left="0"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.2有融资贷款需求的中标人，与采购人在苏采云【合同在线签订】模块中进行合同在线签订时，【账户信息完善】的“是否融资”一栏中需选择“是”，同时完善收款账号信息和合同补充协议（融资账号）。</w:t>
      </w:r>
      <w:r/>
    </w:p>
    <w:p>
      <w:pPr>
        <w:pStyle w:val="868"/>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68"/>
        <w:ind w:left="0" w:firstLine="560"/>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第三章  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且按照评审因素的量化指标评审得分最高的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为中标候选人的评标方法。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由评标委员会通过随机抽取的方式确定中标候选人。</w:t>
      </w:r>
      <w:r/>
    </w:p>
    <w:p>
      <w:pPr>
        <w:ind w:firstLine="560"/>
        <w:spacing w:line="52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rPr>
        <w:t xml:space="preserve">、具体标准</w:t>
      </w:r>
      <w:r>
        <w:rPr>
          <w:rFonts w:hint="eastAsia" w:ascii="仿宋" w:hAnsi="仿宋" w:eastAsia="仿宋" w:cs="仿宋"/>
          <w:color w:val="auto"/>
          <w:sz w:val="28"/>
          <w:highlight w:val="none"/>
          <w:lang w:eastAsia="zh-CN"/>
        </w:rPr>
        <w:t xml:space="preserve">：</w:t>
      </w:r>
      <w:r/>
    </w:p>
    <w:p>
      <w:pPr>
        <w:ind w:firstLine="495"/>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hint="eastAsia" w:ascii="仿宋" w:hAnsi="仿宋" w:eastAsia="仿宋" w:cs="仿宋"/>
          <w:color w:val="auto"/>
          <w:sz w:val="28"/>
          <w:highlight w:val="none"/>
        </w:rPr>
        <w:t xml:space="preserve">价格</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rPr>
        <w:t xml:space="preserve">分</w:t>
      </w:r>
      <w:r/>
    </w:p>
    <w:p>
      <w:pPr>
        <w:pStyle w:val="864"/>
        <w:ind w:firstLine="56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color w:val="auto"/>
          <w:highlight w:val="none"/>
          <w:lang w:eastAsia="zh-CN"/>
        </w:rPr>
        <w:t xml:space="preserve">：</w:t>
      </w:r>
      <w:r/>
    </w:p>
    <w:p>
      <w:pPr>
        <w:pStyle w:val="864"/>
        <w:ind w:firstLine="56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投标报价得分＝（评标基准价/投标报价）×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p>
      <w:pPr>
        <w:ind w:firstLine="560"/>
        <w:keepLines w:val="0"/>
        <w:keepNext w:val="0"/>
        <w:pageBreakBefore w:val="0"/>
        <w:spacing w:line="520" w:lineRule="exact"/>
        <w:widowControl w:val="off"/>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技术部分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22分</w:t>
      </w:r>
      <w:r/>
    </w:p>
    <w:p>
      <w:pPr>
        <w:pStyle w:val="864"/>
        <w:ind w:firstLine="56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sz w:val="28"/>
          <w:szCs w:val="28"/>
          <w:lang w:val="en-US" w:eastAsia="zh-CN"/>
        </w:rPr>
        <w:t xml:space="preserve">投标人所投产品技术参数完全满足招标文件第五章“采购清单及具体项目技术参数要求”的得22分，其中标注“★”部分每有一项负偏离做无效投标处理。</w:t>
      </w:r>
      <w:r>
        <w:rPr>
          <w:rFonts w:hint="eastAsia" w:ascii="仿宋" w:hAnsi="仿宋" w:eastAsia="仿宋" w:cs="仿宋"/>
          <w:color w:val="auto"/>
          <w:sz w:val="28"/>
          <w:szCs w:val="28"/>
        </w:rPr>
        <w:t xml:space="preserve">投标人所投产品技术参数与标注“▲”的技术参数相比较，有一项负偏离扣</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分，与未标注▲的技术参数，有一项负偏离一项扣</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分</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以</w:t>
      </w:r>
      <w:r>
        <w:rPr>
          <w:rFonts w:hint="eastAsia" w:ascii="仿宋" w:hAnsi="仿宋" w:eastAsia="仿宋" w:cs="仿宋"/>
          <w:color w:val="auto"/>
          <w:sz w:val="28"/>
          <w:szCs w:val="28"/>
          <w:lang w:val="en-US" w:eastAsia="zh-CN"/>
        </w:rPr>
        <w:t xml:space="preserve">22</w:t>
      </w:r>
      <w:r>
        <w:rPr>
          <w:rFonts w:hint="eastAsia" w:ascii="仿宋" w:hAnsi="仿宋" w:eastAsia="仿宋" w:cs="仿宋"/>
          <w:color w:val="auto"/>
          <w:sz w:val="28"/>
          <w:szCs w:val="28"/>
        </w:rPr>
        <w:t xml:space="preserve">分为基数</w:t>
      </w:r>
      <w:r>
        <w:rPr>
          <w:rFonts w:hint="eastAsia" w:ascii="仿宋" w:hAnsi="仿宋" w:eastAsia="仿宋" w:cs="仿宋"/>
          <w:color w:val="auto"/>
          <w:highlight w:val="none"/>
          <w:lang w:val="en-US" w:eastAsia="zh-CN"/>
        </w:rPr>
        <w:t xml:space="preserve">，扣完为止。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方案部分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22</w:t>
      </w:r>
      <w:r>
        <w:rPr>
          <w:rFonts w:hint="eastAsia" w:ascii="仿宋" w:hAnsi="仿宋" w:eastAsia="仿宋" w:cs="仿宋"/>
          <w:color w:val="auto"/>
          <w:sz w:val="28"/>
          <w:szCs w:val="28"/>
          <w:highlight w:val="none"/>
        </w:rPr>
        <w:t xml:space="preserve">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评委会</w:t>
      </w:r>
      <w:r>
        <w:rPr>
          <w:rFonts w:hint="eastAsia" w:ascii="仿宋" w:hAnsi="仿宋" w:eastAsia="仿宋" w:cs="仿宋"/>
          <w:bCs/>
          <w:color w:val="auto"/>
          <w:sz w:val="28"/>
          <w:szCs w:val="28"/>
          <w:highlight w:val="none"/>
          <w:lang w:val="zh-CN"/>
        </w:rPr>
        <w:t xml:space="preserve">根据</w:t>
      </w:r>
      <w:r>
        <w:rPr>
          <w:rFonts w:hint="eastAsia" w:ascii="仿宋" w:hAnsi="仿宋" w:eastAsia="仿宋" w:cs="仿宋"/>
          <w:bCs/>
          <w:color w:val="auto"/>
          <w:sz w:val="28"/>
          <w:szCs w:val="28"/>
          <w:highlight w:val="none"/>
          <w:lang w:val="en-US" w:eastAsia="zh-CN"/>
        </w:rPr>
        <w:t xml:space="preserve">投标人</w:t>
      </w:r>
      <w:r>
        <w:rPr>
          <w:rFonts w:hint="eastAsia" w:ascii="仿宋" w:hAnsi="仿宋" w:eastAsia="仿宋" w:cs="仿宋"/>
          <w:bCs/>
          <w:color w:val="auto"/>
          <w:sz w:val="28"/>
          <w:szCs w:val="28"/>
          <w:highlight w:val="none"/>
          <w:lang w:val="zh-CN"/>
        </w:rPr>
        <w:t xml:space="preserve">提供的方案进行评分</w:t>
      </w:r>
      <w:r>
        <w:rPr>
          <w:rFonts w:hint="eastAsia" w:ascii="仿宋" w:hAnsi="仿宋" w:eastAsia="仿宋" w:cs="仿宋"/>
          <w:bCs/>
          <w:color w:val="auto"/>
          <w:sz w:val="28"/>
          <w:szCs w:val="28"/>
          <w:highlight w:val="none"/>
        </w:rPr>
        <w:t xml:space="preserve">，不提供分项方案的或者经三分之二</w:t>
      </w:r>
      <w:r>
        <w:rPr>
          <w:rFonts w:hint="eastAsia" w:ascii="仿宋" w:hAnsi="仿宋" w:eastAsia="仿宋" w:cs="仿宋"/>
          <w:bCs/>
          <w:color w:val="auto"/>
          <w:sz w:val="28"/>
          <w:szCs w:val="28"/>
          <w:highlight w:val="none"/>
          <w:lang w:val="en-US" w:eastAsia="zh-CN"/>
        </w:rPr>
        <w:t xml:space="preserve">评委会</w:t>
      </w:r>
      <w:r>
        <w:rPr>
          <w:rFonts w:hint="eastAsia" w:ascii="仿宋" w:hAnsi="仿宋" w:eastAsia="仿宋" w:cs="仿宋"/>
          <w:bCs/>
          <w:color w:val="auto"/>
          <w:sz w:val="28"/>
          <w:szCs w:val="28"/>
          <w:highlight w:val="none"/>
        </w:rPr>
        <w:t xml:space="preserve">认定分项方案存在重大偏差的，分项不得分。</w:t>
      </w:r>
      <w:r/>
    </w:p>
    <w:p>
      <w:pPr>
        <w:ind w:firstLine="560"/>
        <w:spacing w:line="520" w:lineRule="exac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（1）技术方案（8分）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根据投标人针对本项目制定的技术方案进行评分，投标人充分了解采购人的实际需求，方案内容包括但不限于：①展柜优化设计方案，②展柜优化设计图；③节点图；④密封图等关键部位放大图；⑤技术分析图；⑥效果图等。</w:t>
      </w:r>
      <w:r/>
    </w:p>
    <w:p>
      <w:pPr>
        <w:ind w:firstLine="560"/>
        <w:spacing w:line="520" w:lineRule="exac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技术方案科学、合理、完整、清晰、可行的得8</w:t>
      </w:r>
      <w:r>
        <w:rPr>
          <w:rFonts w:hint="default" w:ascii="仿宋" w:hAnsi="仿宋" w:eastAsia="仿宋" w:cs="仿宋"/>
          <w:bCs/>
          <w:color w:val="auto"/>
          <w:sz w:val="28"/>
          <w:szCs w:val="28"/>
          <w:highlight w:val="none"/>
          <w:lang w:val="en-US" w:eastAsia="zh-CN"/>
        </w:rPr>
        <w:t xml:space="preserve">分；</w:t>
      </w:r>
      <w:r>
        <w:rPr>
          <w:rFonts w:hint="eastAsia" w:ascii="仿宋" w:hAnsi="仿宋" w:eastAsia="仿宋" w:cs="仿宋"/>
          <w:bCs/>
          <w:color w:val="auto"/>
          <w:sz w:val="28"/>
          <w:szCs w:val="28"/>
          <w:highlight w:val="none"/>
          <w:lang w:val="en-US" w:eastAsia="zh-CN"/>
        </w:rPr>
        <w:t xml:space="preserve">技术方案较</w:t>
      </w:r>
      <w:r>
        <w:rPr>
          <w:rFonts w:hint="default" w:ascii="仿宋" w:hAnsi="仿宋" w:eastAsia="仿宋" w:cs="仿宋"/>
          <w:bCs/>
          <w:color w:val="auto"/>
          <w:sz w:val="28"/>
          <w:szCs w:val="28"/>
          <w:highlight w:val="none"/>
          <w:lang w:val="en-US" w:eastAsia="zh-CN"/>
        </w:rPr>
        <w:t xml:space="preserve">合理、较科学、可行性较强的得</w:t>
      </w:r>
      <w:r>
        <w:rPr>
          <w:rFonts w:hint="eastAsia" w:ascii="仿宋" w:hAnsi="仿宋" w:eastAsia="仿宋" w:cs="仿宋"/>
          <w:bCs/>
          <w:color w:val="auto"/>
          <w:sz w:val="28"/>
          <w:szCs w:val="28"/>
          <w:highlight w:val="none"/>
          <w:lang w:val="en-US" w:eastAsia="zh-CN"/>
        </w:rPr>
        <w:t xml:space="preserve">5</w:t>
      </w:r>
      <w:r>
        <w:rPr>
          <w:rFonts w:hint="default" w:ascii="仿宋" w:hAnsi="仿宋" w:eastAsia="仿宋" w:cs="仿宋"/>
          <w:bCs/>
          <w:color w:val="auto"/>
          <w:sz w:val="28"/>
          <w:szCs w:val="28"/>
          <w:highlight w:val="none"/>
          <w:lang w:val="en-US" w:eastAsia="zh-CN"/>
        </w:rPr>
        <w:t xml:space="preserve">分；</w:t>
      </w:r>
      <w:r>
        <w:rPr>
          <w:rFonts w:hint="eastAsia" w:ascii="仿宋" w:hAnsi="仿宋" w:eastAsia="仿宋" w:cs="仿宋"/>
          <w:bCs/>
          <w:color w:val="auto"/>
          <w:sz w:val="28"/>
          <w:szCs w:val="28"/>
          <w:highlight w:val="none"/>
          <w:lang w:val="en-US" w:eastAsia="zh-CN"/>
        </w:rPr>
        <w:t xml:space="preserve">技术方案</w:t>
      </w:r>
      <w:r>
        <w:rPr>
          <w:rFonts w:hint="default" w:ascii="仿宋" w:hAnsi="仿宋" w:eastAsia="仿宋" w:cs="仿宋"/>
          <w:bCs/>
          <w:color w:val="auto"/>
          <w:sz w:val="28"/>
          <w:szCs w:val="28"/>
          <w:highlight w:val="none"/>
          <w:lang w:val="en-US" w:eastAsia="zh-CN"/>
        </w:rPr>
        <w:t xml:space="preserve">考虑比较详细，基本可行的得2分；</w:t>
      </w:r>
      <w:r>
        <w:rPr>
          <w:rFonts w:hint="eastAsia" w:ascii="仿宋" w:hAnsi="仿宋" w:eastAsia="仿宋" w:cs="仿宋"/>
          <w:bCs/>
          <w:color w:val="auto"/>
          <w:sz w:val="28"/>
          <w:szCs w:val="28"/>
          <w:highlight w:val="none"/>
          <w:lang w:val="en-US" w:eastAsia="zh-CN"/>
        </w:rPr>
        <w:t xml:space="preserve">技术方案</w:t>
      </w:r>
      <w:r>
        <w:rPr>
          <w:rFonts w:hint="default" w:ascii="仿宋" w:hAnsi="仿宋" w:eastAsia="仿宋" w:cs="仿宋"/>
          <w:bCs/>
          <w:color w:val="auto"/>
          <w:sz w:val="28"/>
          <w:szCs w:val="28"/>
          <w:highlight w:val="none"/>
          <w:lang w:val="en-US" w:eastAsia="zh-CN"/>
        </w:rPr>
        <w:t xml:space="preserve">可行性差有缺陷的得1分；未提供的本项不得分</w:t>
      </w:r>
      <w:r>
        <w:rPr>
          <w:rFonts w:hint="eastAsia" w:ascii="仿宋" w:hAnsi="仿宋" w:eastAsia="仿宋" w:cs="仿宋"/>
          <w:bCs/>
          <w:color w:val="auto"/>
          <w:sz w:val="28"/>
          <w:szCs w:val="28"/>
          <w:highlight w:val="none"/>
          <w:lang w:val="en-US" w:eastAsia="zh-CN"/>
        </w:rPr>
        <w:t xml:space="preserve">。</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（2）实施方案（8分）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根据投标人针对本项目制定的实施方案进行评分，投标人根据需要可自行安排现场勘查，充分了解项目现场的实际情况，实施方案内容包括但不仅限于：①项目团队（组织架构、成员技术实力、项目经验）；②项目进度计划（总体进度、节点安排、保障措施），③供货方案（生产、包装、运输等）；④项目应急方案；⑤施工方案（安全文明施工、使用的设施设备、拆除的旧设备临时堆放与清理、具体施工方案等）；⑥安装、调试方案等。</w:t>
      </w:r>
      <w:r/>
    </w:p>
    <w:p>
      <w:pPr>
        <w:ind w:firstLine="560"/>
        <w:spacing w:line="520" w:lineRule="exac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实施方案科学、合理、完整、清晰、可行的得8</w:t>
      </w:r>
      <w:r>
        <w:rPr>
          <w:rFonts w:hint="default" w:ascii="仿宋" w:hAnsi="仿宋" w:eastAsia="仿宋" w:cs="仿宋"/>
          <w:bCs/>
          <w:color w:val="auto"/>
          <w:sz w:val="28"/>
          <w:szCs w:val="28"/>
          <w:highlight w:val="none"/>
          <w:lang w:val="en-US" w:eastAsia="zh-CN"/>
        </w:rPr>
        <w:t xml:space="preserve">分；</w:t>
      </w:r>
      <w:r>
        <w:rPr>
          <w:rFonts w:hint="eastAsia" w:ascii="仿宋" w:hAnsi="仿宋" w:eastAsia="仿宋" w:cs="仿宋"/>
          <w:bCs/>
          <w:color w:val="auto"/>
          <w:sz w:val="28"/>
          <w:szCs w:val="28"/>
          <w:highlight w:val="none"/>
          <w:lang w:val="en-US" w:eastAsia="zh-CN"/>
        </w:rPr>
        <w:t xml:space="preserve">实施方案较</w:t>
      </w:r>
      <w:r>
        <w:rPr>
          <w:rFonts w:hint="default" w:ascii="仿宋" w:hAnsi="仿宋" w:eastAsia="仿宋" w:cs="仿宋"/>
          <w:bCs/>
          <w:color w:val="auto"/>
          <w:sz w:val="28"/>
          <w:szCs w:val="28"/>
          <w:highlight w:val="none"/>
          <w:lang w:val="en-US" w:eastAsia="zh-CN"/>
        </w:rPr>
        <w:t xml:space="preserve">合理、较科学、可行性较强的得</w:t>
      </w:r>
      <w:r>
        <w:rPr>
          <w:rFonts w:hint="eastAsia" w:ascii="仿宋" w:hAnsi="仿宋" w:eastAsia="仿宋" w:cs="仿宋"/>
          <w:bCs/>
          <w:color w:val="auto"/>
          <w:sz w:val="28"/>
          <w:szCs w:val="28"/>
          <w:highlight w:val="none"/>
          <w:lang w:val="en-US" w:eastAsia="zh-CN"/>
        </w:rPr>
        <w:t xml:space="preserve">5</w:t>
      </w:r>
      <w:r>
        <w:rPr>
          <w:rFonts w:hint="default" w:ascii="仿宋" w:hAnsi="仿宋" w:eastAsia="仿宋" w:cs="仿宋"/>
          <w:bCs/>
          <w:color w:val="auto"/>
          <w:sz w:val="28"/>
          <w:szCs w:val="28"/>
          <w:highlight w:val="none"/>
          <w:lang w:val="en-US" w:eastAsia="zh-CN"/>
        </w:rPr>
        <w:t xml:space="preserve">分；</w:t>
      </w:r>
      <w:r>
        <w:rPr>
          <w:rFonts w:hint="eastAsia" w:ascii="仿宋" w:hAnsi="仿宋" w:eastAsia="仿宋" w:cs="仿宋"/>
          <w:bCs/>
          <w:color w:val="auto"/>
          <w:sz w:val="28"/>
          <w:szCs w:val="28"/>
          <w:highlight w:val="none"/>
          <w:lang w:val="en-US" w:eastAsia="zh-CN"/>
        </w:rPr>
        <w:t xml:space="preserve">实施方案</w:t>
      </w:r>
      <w:r>
        <w:rPr>
          <w:rFonts w:hint="default" w:ascii="仿宋" w:hAnsi="仿宋" w:eastAsia="仿宋" w:cs="仿宋"/>
          <w:bCs/>
          <w:color w:val="auto"/>
          <w:sz w:val="28"/>
          <w:szCs w:val="28"/>
          <w:highlight w:val="none"/>
          <w:lang w:val="en-US" w:eastAsia="zh-CN"/>
        </w:rPr>
        <w:t xml:space="preserve">考虑比较详细，基本可行的得2分；</w:t>
      </w:r>
      <w:r>
        <w:rPr>
          <w:rFonts w:hint="eastAsia" w:ascii="仿宋" w:hAnsi="仿宋" w:eastAsia="仿宋" w:cs="仿宋"/>
          <w:bCs/>
          <w:color w:val="auto"/>
          <w:sz w:val="28"/>
          <w:szCs w:val="28"/>
          <w:highlight w:val="none"/>
          <w:lang w:val="en-US" w:eastAsia="zh-CN"/>
        </w:rPr>
        <w:t xml:space="preserve">实施方案</w:t>
      </w:r>
      <w:r>
        <w:rPr>
          <w:rFonts w:hint="default" w:ascii="仿宋" w:hAnsi="仿宋" w:eastAsia="仿宋" w:cs="仿宋"/>
          <w:bCs/>
          <w:color w:val="auto"/>
          <w:sz w:val="28"/>
          <w:szCs w:val="28"/>
          <w:highlight w:val="none"/>
          <w:lang w:val="en-US" w:eastAsia="zh-CN"/>
        </w:rPr>
        <w:t xml:space="preserve">可行性差有缺陷的得1分；未提供的本项不得分</w:t>
      </w:r>
      <w:r>
        <w:rPr>
          <w:rFonts w:hint="eastAsia" w:ascii="仿宋" w:hAnsi="仿宋" w:eastAsia="仿宋" w:cs="仿宋"/>
          <w:bCs/>
          <w:color w:val="auto"/>
          <w:sz w:val="28"/>
          <w:szCs w:val="28"/>
          <w:highlight w:val="none"/>
          <w:lang w:val="en-US" w:eastAsia="zh-CN"/>
        </w:rPr>
        <w:t xml:space="preserve">。</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（3）售后服务方案（6分）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投标人根据本项目情况，提供售后服务方案，方案包括但不限于①人员配置、②服务响应制度、③服务方式、④服务机构设置、⑤备品备件配置、⑥培训方案等。</w:t>
      </w:r>
      <w:r/>
    </w:p>
    <w:p>
      <w:pPr>
        <w:ind w:firstLine="560"/>
        <w:spacing w:line="520" w:lineRule="exac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售后服务方案科学、合理、完整、清晰、可行的得6</w:t>
      </w:r>
      <w:r>
        <w:rPr>
          <w:rFonts w:hint="default" w:ascii="仿宋" w:hAnsi="仿宋" w:eastAsia="仿宋" w:cs="仿宋"/>
          <w:bCs/>
          <w:color w:val="auto"/>
          <w:sz w:val="28"/>
          <w:szCs w:val="28"/>
          <w:highlight w:val="none"/>
          <w:lang w:val="en-US" w:eastAsia="zh-CN"/>
        </w:rPr>
        <w:t xml:space="preserve">分；</w:t>
      </w:r>
      <w:r>
        <w:rPr>
          <w:rFonts w:hint="eastAsia" w:ascii="仿宋" w:hAnsi="仿宋" w:eastAsia="仿宋" w:cs="仿宋"/>
          <w:bCs/>
          <w:color w:val="auto"/>
          <w:sz w:val="28"/>
          <w:szCs w:val="28"/>
          <w:highlight w:val="none"/>
          <w:lang w:val="en-US" w:eastAsia="zh-CN"/>
        </w:rPr>
        <w:t xml:space="preserve">售后服务方案较</w:t>
      </w:r>
      <w:r>
        <w:rPr>
          <w:rFonts w:hint="default" w:ascii="仿宋" w:hAnsi="仿宋" w:eastAsia="仿宋" w:cs="仿宋"/>
          <w:bCs/>
          <w:color w:val="auto"/>
          <w:sz w:val="28"/>
          <w:szCs w:val="28"/>
          <w:highlight w:val="none"/>
          <w:lang w:val="en-US" w:eastAsia="zh-CN"/>
        </w:rPr>
        <w:t xml:space="preserve">合理、较科学、可行性较强的得</w:t>
      </w:r>
      <w:r>
        <w:rPr>
          <w:rFonts w:hint="eastAsia" w:ascii="仿宋" w:hAnsi="仿宋" w:eastAsia="仿宋" w:cs="仿宋"/>
          <w:bCs/>
          <w:color w:val="auto"/>
          <w:sz w:val="28"/>
          <w:szCs w:val="28"/>
          <w:highlight w:val="none"/>
          <w:lang w:val="en-US" w:eastAsia="zh-CN"/>
        </w:rPr>
        <w:t xml:space="preserve">4</w:t>
      </w:r>
      <w:r>
        <w:rPr>
          <w:rFonts w:hint="default" w:ascii="仿宋" w:hAnsi="仿宋" w:eastAsia="仿宋" w:cs="仿宋"/>
          <w:bCs/>
          <w:color w:val="auto"/>
          <w:sz w:val="28"/>
          <w:szCs w:val="28"/>
          <w:highlight w:val="none"/>
          <w:lang w:val="en-US" w:eastAsia="zh-CN"/>
        </w:rPr>
        <w:t xml:space="preserve">分；</w:t>
      </w:r>
      <w:r>
        <w:rPr>
          <w:rFonts w:hint="eastAsia" w:ascii="仿宋" w:hAnsi="仿宋" w:eastAsia="仿宋" w:cs="仿宋"/>
          <w:bCs/>
          <w:color w:val="auto"/>
          <w:sz w:val="28"/>
          <w:szCs w:val="28"/>
          <w:highlight w:val="none"/>
          <w:lang w:val="en-US" w:eastAsia="zh-CN"/>
        </w:rPr>
        <w:t xml:space="preserve">售后服务方案</w:t>
      </w:r>
      <w:r>
        <w:rPr>
          <w:rFonts w:hint="default" w:ascii="仿宋" w:hAnsi="仿宋" w:eastAsia="仿宋" w:cs="仿宋"/>
          <w:bCs/>
          <w:color w:val="auto"/>
          <w:sz w:val="28"/>
          <w:szCs w:val="28"/>
          <w:highlight w:val="none"/>
          <w:lang w:val="en-US" w:eastAsia="zh-CN"/>
        </w:rPr>
        <w:t xml:space="preserve">考虑比较详细，基本可行的得2分；</w:t>
      </w:r>
      <w:r>
        <w:rPr>
          <w:rFonts w:hint="eastAsia" w:ascii="仿宋" w:hAnsi="仿宋" w:eastAsia="仿宋" w:cs="仿宋"/>
          <w:bCs/>
          <w:color w:val="auto"/>
          <w:sz w:val="28"/>
          <w:szCs w:val="28"/>
          <w:highlight w:val="none"/>
          <w:lang w:val="en-US" w:eastAsia="zh-CN"/>
        </w:rPr>
        <w:t xml:space="preserve">售后服务方案</w:t>
      </w:r>
      <w:r>
        <w:rPr>
          <w:rFonts w:hint="default" w:ascii="仿宋" w:hAnsi="仿宋" w:eastAsia="仿宋" w:cs="仿宋"/>
          <w:bCs/>
          <w:color w:val="auto"/>
          <w:sz w:val="28"/>
          <w:szCs w:val="28"/>
          <w:highlight w:val="none"/>
          <w:lang w:val="en-US" w:eastAsia="zh-CN"/>
        </w:rPr>
        <w:t xml:space="preserve">可行性差有缺陷的得1分；未提供的本项不得分</w:t>
      </w:r>
      <w:r>
        <w:rPr>
          <w:rFonts w:hint="eastAsia" w:ascii="仿宋" w:hAnsi="仿宋" w:eastAsia="仿宋" w:cs="仿宋"/>
          <w:bCs/>
          <w:color w:val="auto"/>
          <w:sz w:val="28"/>
          <w:szCs w:val="28"/>
          <w:highlight w:val="none"/>
          <w:lang w:val="en-US" w:eastAsia="zh-CN"/>
        </w:rPr>
        <w:t xml:space="preserve">。</w:t>
      </w:r>
      <w:r/>
    </w:p>
    <w:p>
      <w:pPr>
        <w:ind w:firstLine="560"/>
        <w:spacing w:line="520" w:lineRule="exac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color w:val="auto"/>
          <w:sz w:val="28"/>
          <w:szCs w:val="28"/>
        </w:rPr>
        <w:t xml:space="preserve">样品：</w:t>
      </w:r>
      <w:r>
        <w:rPr>
          <w:rFonts w:hint="eastAsia" w:ascii="仿宋" w:hAnsi="仿宋" w:eastAsia="仿宋" w:cs="仿宋"/>
          <w:color w:val="auto"/>
          <w:sz w:val="28"/>
          <w:szCs w:val="28"/>
          <w:lang w:val="en-US" w:eastAsia="zh-CN"/>
        </w:rPr>
        <w:t xml:space="preserve">18</w:t>
      </w:r>
      <w:r>
        <w:rPr>
          <w:rFonts w:hint="eastAsia" w:ascii="仿宋" w:hAnsi="仿宋" w:eastAsia="仿宋" w:cs="仿宋"/>
          <w:color w:val="auto"/>
          <w:sz w:val="28"/>
          <w:szCs w:val="28"/>
        </w:rPr>
        <w:t xml:space="preserve">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投标人参加投标时需提供样品，评委会根据投标人提供的样品进行评分，未提供样品的或者经三分之二评委认定样品存在重大偏离的该分项不得分。</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（一）样品1：独立柜（5分）</w:t>
      </w:r>
      <w:r/>
    </w:p>
    <w:p>
      <w:pPr>
        <w:ind w:firstLine="560"/>
        <w:spacing w:line="520" w:lineRule="exact"/>
        <w:rPr>
          <w:rFonts w:hint="default"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投标人提供一台独立柜样品，样品尺寸800×800×2200mm （长×宽×高）。评标现场对样品进行评审，本项满分5分，不具备功能或者未提供样品的不得分。</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（1）展柜玻璃展示区及箱体比例分割美观，</w:t>
      </w:r>
      <w:r>
        <w:rPr>
          <w:rFonts w:hint="eastAsia" w:ascii="仿宋" w:hAnsi="仿宋" w:eastAsia="仿宋" w:cs="仿宋"/>
          <w:b w:val="0"/>
          <w:bCs/>
          <w:color w:val="auto"/>
          <w:sz w:val="28"/>
          <w:szCs w:val="28"/>
        </w:rPr>
        <w:t xml:space="preserve">尽量提供更大的玻璃展示面</w:t>
      </w:r>
      <w:r>
        <w:rPr>
          <w:rFonts w:hint="eastAsia" w:ascii="仿宋" w:hAnsi="仿宋" w:eastAsia="仿宋" w:cs="仿宋"/>
          <w:b w:val="0"/>
          <w:bCs/>
          <w:color w:val="auto"/>
          <w:sz w:val="28"/>
          <w:szCs w:val="28"/>
          <w:highlight w:val="none"/>
          <w:lang w:val="en-US" w:eastAsia="zh-CN"/>
        </w:rPr>
        <w:t xml:space="preserve">。箱体表面喷涂平整均匀，无杂质。</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rPr>
        <w:t xml:space="preserve">采用6mm+6mm 高品质夹胶低反射玻璃</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highlight w:val="none"/>
          <w:lang w:val="en-US" w:eastAsia="zh-CN"/>
        </w:rPr>
        <w:t xml:space="preserve">玻璃平整度高、通透性好，无杂质、偏色、气泡，磨边倒角均匀，密封性好。</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（3）整体钣金结构稳定，制作工艺牢固。平整度好，无变形。边角、倒角圆润，拼缝均匀。</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（4）展柜玻璃手动90°旋转开启，开启流畅。</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（5）灯光</w:t>
      </w:r>
      <w:r>
        <w:rPr>
          <w:rFonts w:hint="eastAsia" w:ascii="仿宋" w:hAnsi="仿宋" w:eastAsia="仿宋" w:cs="仿宋"/>
          <w:b w:val="0"/>
          <w:bCs/>
          <w:color w:val="auto"/>
          <w:sz w:val="28"/>
          <w:szCs w:val="28"/>
          <w:lang w:val="en-US" w:eastAsia="zh-CN"/>
        </w:rPr>
        <w:t xml:space="preserve">显色指数 CRI≥92，色容差SDCM≤3，色温应3000K-3500K。</w:t>
      </w:r>
      <w:r>
        <w:rPr>
          <w:rFonts w:hint="eastAsia" w:ascii="仿宋" w:hAnsi="仿宋" w:eastAsia="仿宋" w:cs="仿宋"/>
          <w:b w:val="0"/>
          <w:bCs/>
          <w:color w:val="auto"/>
          <w:sz w:val="28"/>
          <w:szCs w:val="28"/>
          <w:highlight w:val="none"/>
          <w:lang w:val="en-US" w:eastAsia="zh-CN"/>
        </w:rPr>
        <w:t xml:space="preserve">安装方式合理、结构牢固。</w:t>
      </w:r>
      <w:r/>
    </w:p>
    <w:p>
      <w:pPr>
        <w:ind w:firstLine="560"/>
        <w:keepLines w:val="0"/>
        <w:keepNext w:val="0"/>
        <w:pageBreakBefore w:val="0"/>
        <w:spacing w:line="520" w:lineRule="exact"/>
        <w:rPr>
          <w:rFonts w:hint="eastAsia" w:ascii="仿宋" w:hAnsi="仿宋" w:eastAsia="仿宋"/>
          <w:b w:val="0"/>
          <w:bCs/>
          <w:color w:val="auto"/>
          <w:sz w:val="28"/>
          <w:szCs w:val="28"/>
        </w:rPr>
        <w:outlineLvl w:val="9"/>
      </w:pPr>
      <w:r>
        <w:rPr>
          <w:rFonts w:hint="eastAsia" w:ascii="仿宋" w:hAnsi="仿宋" w:eastAsia="仿宋"/>
          <w:b w:val="0"/>
          <w:bCs/>
          <w:color w:val="auto"/>
          <w:sz w:val="28"/>
          <w:szCs w:val="28"/>
          <w:lang w:val="en-US" w:eastAsia="zh-CN"/>
        </w:rPr>
        <w:t xml:space="preserve">评委根据根据上述内容及</w:t>
      </w:r>
      <w:r>
        <w:rPr>
          <w:rFonts w:hint="eastAsia" w:ascii="仿宋" w:hAnsi="仿宋" w:eastAsia="仿宋"/>
          <w:b w:val="0"/>
          <w:bCs/>
          <w:color w:val="auto"/>
          <w:sz w:val="28"/>
          <w:szCs w:val="28"/>
        </w:rPr>
        <w:t xml:space="preserve">样品外观</w:t>
      </w:r>
      <w:r>
        <w:rPr>
          <w:rFonts w:hint="eastAsia" w:ascii="仿宋" w:hAnsi="仿宋" w:eastAsia="仿宋"/>
          <w:b w:val="0"/>
          <w:bCs/>
          <w:color w:val="auto"/>
          <w:sz w:val="28"/>
          <w:szCs w:val="28"/>
          <w:lang w:val="en-US" w:eastAsia="zh-CN"/>
        </w:rPr>
        <w:t xml:space="preserve">美观度</w:t>
      </w:r>
      <w:r>
        <w:rPr>
          <w:rFonts w:hint="eastAsia" w:ascii="仿宋" w:hAnsi="仿宋" w:eastAsia="仿宋"/>
          <w:b w:val="0"/>
          <w:bCs/>
          <w:color w:val="auto"/>
          <w:sz w:val="28"/>
          <w:szCs w:val="28"/>
          <w:lang w:eastAsia="zh-CN"/>
        </w:rPr>
        <w:t xml:space="preserve">、</w:t>
      </w:r>
      <w:r>
        <w:rPr>
          <w:rFonts w:hint="eastAsia" w:ascii="仿宋" w:hAnsi="仿宋" w:eastAsia="仿宋"/>
          <w:b w:val="0"/>
          <w:bCs/>
          <w:color w:val="auto"/>
          <w:sz w:val="28"/>
          <w:szCs w:val="28"/>
        </w:rPr>
        <w:t xml:space="preserve">样品用料是否精良</w:t>
      </w:r>
      <w:r>
        <w:rPr>
          <w:rFonts w:hint="eastAsia" w:ascii="仿宋" w:hAnsi="仿宋" w:eastAsia="仿宋"/>
          <w:b w:val="0"/>
          <w:bCs/>
          <w:color w:val="auto"/>
          <w:sz w:val="28"/>
          <w:szCs w:val="28"/>
          <w:lang w:eastAsia="zh-CN"/>
        </w:rPr>
        <w:t xml:space="preserve">、</w:t>
      </w:r>
      <w:r>
        <w:rPr>
          <w:rFonts w:hint="eastAsia" w:ascii="仿宋" w:hAnsi="仿宋" w:eastAsia="仿宋"/>
          <w:b w:val="0"/>
          <w:bCs/>
          <w:color w:val="auto"/>
          <w:sz w:val="28"/>
          <w:szCs w:val="28"/>
        </w:rPr>
        <w:t xml:space="preserve">样品工艺是否精湛</w:t>
      </w:r>
      <w:r>
        <w:rPr>
          <w:rFonts w:hint="eastAsia" w:ascii="仿宋" w:hAnsi="仿宋" w:eastAsia="仿宋"/>
          <w:b w:val="0"/>
          <w:bCs/>
          <w:color w:val="auto"/>
          <w:sz w:val="28"/>
          <w:szCs w:val="28"/>
          <w:lang w:eastAsia="zh-CN"/>
        </w:rPr>
        <w:t xml:space="preserve">、</w:t>
      </w:r>
      <w:r>
        <w:rPr>
          <w:rFonts w:hint="eastAsia" w:ascii="仿宋" w:hAnsi="仿宋" w:eastAsia="仿宋"/>
          <w:b w:val="0"/>
          <w:bCs/>
          <w:color w:val="auto"/>
          <w:sz w:val="28"/>
          <w:szCs w:val="28"/>
        </w:rPr>
        <w:t xml:space="preserve">样品承载力及稳固性</w:t>
      </w:r>
      <w:r>
        <w:rPr>
          <w:rFonts w:hint="eastAsia" w:ascii="仿宋" w:hAnsi="仿宋" w:eastAsia="仿宋"/>
          <w:b w:val="0"/>
          <w:bCs/>
          <w:color w:val="auto"/>
          <w:sz w:val="28"/>
          <w:szCs w:val="28"/>
          <w:lang w:val="en-US" w:eastAsia="zh-CN"/>
        </w:rPr>
        <w:t xml:space="preserve">等</w:t>
      </w:r>
      <w:r>
        <w:rPr>
          <w:rFonts w:hint="eastAsia" w:ascii="仿宋" w:hAnsi="仿宋" w:eastAsia="仿宋"/>
          <w:b w:val="0"/>
          <w:bCs/>
          <w:color w:val="auto"/>
          <w:sz w:val="28"/>
          <w:szCs w:val="28"/>
        </w:rPr>
        <w:t xml:space="preserve">方面进行评审</w:t>
      </w:r>
      <w:r>
        <w:rPr>
          <w:rFonts w:hint="eastAsia" w:ascii="仿宋" w:hAnsi="仿宋" w:eastAsia="仿宋"/>
          <w:b w:val="0"/>
          <w:bCs/>
          <w:color w:val="auto"/>
          <w:sz w:val="28"/>
          <w:szCs w:val="28"/>
          <w:lang w:eastAsia="zh-CN"/>
        </w:rPr>
        <w:t xml:space="preserve">；</w:t>
      </w:r>
      <w:r>
        <w:rPr>
          <w:rFonts w:hint="eastAsia" w:ascii="仿宋" w:hAnsi="仿宋" w:eastAsia="仿宋"/>
          <w:b w:val="0"/>
          <w:bCs/>
          <w:color w:val="auto"/>
          <w:sz w:val="28"/>
          <w:szCs w:val="28"/>
        </w:rPr>
        <w:t xml:space="preserve">优于项目需求的得5分，满足项目需求的得3分，基本符合项目需求得1分。</w:t>
      </w:r>
      <w:r/>
    </w:p>
    <w:p>
      <w:pPr>
        <w:ind w:firstLine="560"/>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（二）样品2：多功能墙柜（11分）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投标人提供一台多功能墙柜样品，样</w:t>
      </w:r>
      <w:r>
        <w:rPr>
          <w:rFonts w:hint="eastAsia" w:ascii="仿宋" w:hAnsi="仿宋" w:eastAsia="仿宋" w:cs="仿宋"/>
          <w:bCs/>
          <w:color w:val="auto"/>
          <w:sz w:val="28"/>
          <w:szCs w:val="28"/>
          <w:highlight w:val="none"/>
          <w:lang w:val="en-US" w:eastAsia="zh-CN"/>
        </w:rPr>
        <w:t xml:space="preserve">品尺寸3715×1000×3300mm （长×宽×高）。评标现场对样品进行评审，本项满分11分，不具备功能或者未提供样品的不得分。</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（1）展柜上箱、玻璃展示区及下箱比例分割美观，</w:t>
      </w:r>
      <w:r>
        <w:rPr>
          <w:rFonts w:hint="eastAsia" w:ascii="仿宋" w:hAnsi="仿宋" w:eastAsia="仿宋" w:cs="仿宋"/>
          <w:color w:val="auto"/>
          <w:sz w:val="28"/>
          <w:szCs w:val="28"/>
        </w:rPr>
        <w:t xml:space="preserve">尽量提供更大的玻璃展示面</w:t>
      </w:r>
      <w:r>
        <w:rPr>
          <w:rFonts w:hint="eastAsia" w:ascii="仿宋" w:hAnsi="仿宋" w:eastAsia="仿宋" w:cs="仿宋"/>
          <w:bCs/>
          <w:color w:val="auto"/>
          <w:sz w:val="28"/>
          <w:szCs w:val="28"/>
          <w:highlight w:val="none"/>
          <w:lang w:val="en-US" w:eastAsia="zh-CN"/>
        </w:rPr>
        <w:t xml:space="preserve">。箱体表面喷涂平整均匀，无杂质。</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color w:val="auto"/>
          <w:sz w:val="28"/>
          <w:szCs w:val="28"/>
        </w:rPr>
        <w:t xml:space="preserve">采用 </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mm+</w:t>
      </w:r>
      <w:r>
        <w:rPr>
          <w:rFonts w:hint="eastAsia" w:ascii="仿宋" w:hAnsi="仿宋" w:eastAsia="仿宋" w:cs="仿宋"/>
          <w:b w:val="0"/>
          <w:bCs/>
          <w:color w:val="auto"/>
          <w:sz w:val="28"/>
          <w:szCs w:val="28"/>
          <w:lang w:val="en-US" w:eastAsia="zh-CN"/>
        </w:rPr>
        <w:t xml:space="preserve">0.89SGP+</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mm 高品质夹胶低反射玻璃</w:t>
      </w:r>
      <w:r>
        <w:rPr>
          <w:rFonts w:hint="eastAsia" w:ascii="仿宋" w:hAnsi="仿宋" w:eastAsia="仿宋" w:cs="仿宋"/>
          <w:color w:val="auto"/>
          <w:sz w:val="28"/>
          <w:szCs w:val="28"/>
          <w:lang w:eastAsia="zh-CN"/>
        </w:rPr>
        <w:t xml:space="preserve">，</w:t>
      </w:r>
      <w:r>
        <w:rPr>
          <w:rFonts w:hint="eastAsia" w:ascii="仿宋" w:hAnsi="仿宋" w:eastAsia="仿宋" w:cs="仿宋"/>
          <w:bCs/>
          <w:color w:val="auto"/>
          <w:sz w:val="28"/>
          <w:szCs w:val="28"/>
          <w:highlight w:val="none"/>
          <w:lang w:val="en-US" w:eastAsia="zh-CN"/>
        </w:rPr>
        <w:t xml:space="preserve">玻璃平整度高、通透性好，无杂质、偏色、气泡，磨边倒角均匀，密封性好。</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（3）整体钣金结构稳定，制作工艺牢固。平整度好，无变形。边角、倒角圆润，拼缝均匀。</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color w:val="auto"/>
          <w:sz w:val="28"/>
          <w:szCs w:val="28"/>
        </w:rPr>
        <w:t xml:space="preserve">下箱预留其他设备空间和柜内开孔，具有良好的散热性。</w:t>
      </w:r>
      <w:r>
        <w:rPr>
          <w:rFonts w:hint="eastAsia" w:ascii="仿宋" w:hAnsi="仿宋" w:eastAsia="仿宋" w:cs="仿宋"/>
          <w:bCs/>
          <w:color w:val="auto"/>
          <w:sz w:val="28"/>
          <w:szCs w:val="28"/>
          <w:highlight w:val="none"/>
          <w:lang w:val="en-US" w:eastAsia="zh-CN"/>
        </w:rPr>
        <w:t xml:space="preserve">上、下检修门开启便捷，综合布线科学合理。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（5）柜门智能遥控开启，金属滑轨电动弹出、手动平移，轻松流畅。</w:t>
      </w:r>
      <w:r/>
    </w:p>
    <w:p>
      <w:pPr>
        <w:ind w:firstLine="560"/>
        <w:spacing w:line="520" w:lineRule="exact"/>
        <w:rPr>
          <w:rFonts w:hint="eastAsia" w:ascii="仿宋" w:hAnsi="仿宋" w:eastAsia="仿宋" w:cs="仿宋"/>
          <w:bCs/>
          <w:color w:val="auto"/>
          <w:sz w:val="28"/>
          <w:szCs w:val="28"/>
          <w:highlight w:val="none"/>
          <w:lang w:val="en-US" w:eastAsia="zh-CN"/>
        </w:rPr>
      </w:pPr>
      <w:r>
        <w:rPr>
          <w:rFonts w:hint="default"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lang w:val="en-US" w:eastAsia="zh-CN"/>
        </w:rPr>
        <w:t xml:space="preserve">6</w:t>
      </w:r>
      <w:r>
        <w:rPr>
          <w:rFonts w:hint="default"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lang w:val="en-US" w:eastAsia="zh-CN"/>
        </w:rPr>
        <w:t xml:space="preserve">电动门要求反复开关 5 次以上无卡顿。</w:t>
      </w:r>
      <w:r/>
    </w:p>
    <w:p>
      <w:pPr>
        <w:ind w:firstLine="560"/>
        <w:spacing w:line="520" w:lineRule="exac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（7）背板、灯箱、展台、卷帘移动部分设计合理美观，使用方便。</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（8）柜内移动背板要求前后移动行程 0mm—400mm，在任意点停止并锁固。柜内移动背板要求反复推移 5 次，无明显的卡顿、抖动等。</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（9）电动升降灯箱、展台、卷帘上下移动行程 0mm—1000mm，在任意点停止并锁固。电动升降灯箱、展台、卷帘要求反复升降 5 次，无明显的卡顿、抖动等。</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（10）锁具开启顺滑，安装位置隐蔽。</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（11）灯光</w:t>
      </w:r>
      <w:r>
        <w:rPr>
          <w:rFonts w:hint="eastAsia" w:ascii="仿宋" w:hAnsi="仿宋" w:eastAsia="仿宋" w:cs="仿宋"/>
          <w:color w:val="auto"/>
          <w:sz w:val="28"/>
          <w:szCs w:val="28"/>
          <w:lang w:val="en-US" w:eastAsia="zh-CN"/>
        </w:rPr>
        <w:t xml:space="preserve">显色指数 CRI≥92，色容差SDCM≤3，色温应3000K-</w:t>
      </w:r>
      <w:r>
        <w:rPr>
          <w:rFonts w:hint="eastAsia" w:ascii="仿宋" w:hAnsi="仿宋" w:eastAsia="仿宋" w:cs="仿宋"/>
          <w:b w:val="0"/>
          <w:bCs w:val="0"/>
          <w:color w:val="auto"/>
          <w:sz w:val="28"/>
          <w:szCs w:val="28"/>
          <w:lang w:val="en-US" w:eastAsia="zh-CN"/>
        </w:rPr>
        <w:t xml:space="preserve">3500K。</w:t>
      </w:r>
      <w:r>
        <w:rPr>
          <w:rFonts w:hint="eastAsia" w:ascii="仿宋" w:hAnsi="仿宋" w:eastAsia="仿宋" w:cs="仿宋"/>
          <w:b w:val="0"/>
          <w:bCs w:val="0"/>
          <w:color w:val="auto"/>
          <w:sz w:val="28"/>
          <w:szCs w:val="28"/>
          <w:highlight w:val="none"/>
          <w:lang w:val="en-US" w:eastAsia="zh-CN"/>
        </w:rPr>
        <w:t xml:space="preserve">安装方式合理、结构牢固。</w:t>
      </w:r>
      <w:r/>
    </w:p>
    <w:p>
      <w:pPr>
        <w:ind w:firstLine="560"/>
        <w:keepLines w:val="0"/>
        <w:keepNext w:val="0"/>
        <w:pageBreakBefore w:val="0"/>
        <w:spacing w:line="520" w:lineRule="exact"/>
        <w:rPr>
          <w:rFonts w:hint="eastAsia" w:ascii="仿宋" w:hAnsi="仿宋" w:eastAsia="仿宋"/>
          <w:b w:val="0"/>
          <w:bCs w:val="0"/>
          <w:color w:val="auto"/>
          <w:sz w:val="28"/>
          <w:szCs w:val="28"/>
        </w:rPr>
        <w:outlineLvl w:val="9"/>
      </w:pPr>
      <w:r>
        <w:rPr>
          <w:rFonts w:hint="eastAsia" w:ascii="仿宋" w:hAnsi="仿宋" w:eastAsia="仿宋"/>
          <w:b w:val="0"/>
          <w:bCs w:val="0"/>
          <w:color w:val="auto"/>
          <w:sz w:val="28"/>
          <w:szCs w:val="28"/>
          <w:lang w:val="en-US" w:eastAsia="zh-CN"/>
        </w:rPr>
        <w:t xml:space="preserve">评委根据根据上述内容及</w:t>
      </w:r>
      <w:r>
        <w:rPr>
          <w:rFonts w:hint="eastAsia" w:ascii="仿宋" w:hAnsi="仿宋" w:eastAsia="仿宋"/>
          <w:b w:val="0"/>
          <w:bCs w:val="0"/>
          <w:color w:val="auto"/>
          <w:sz w:val="28"/>
          <w:szCs w:val="28"/>
        </w:rPr>
        <w:t xml:space="preserve">样品外观</w:t>
      </w:r>
      <w:r>
        <w:rPr>
          <w:rFonts w:hint="eastAsia" w:ascii="仿宋" w:hAnsi="仿宋" w:eastAsia="仿宋"/>
          <w:b w:val="0"/>
          <w:bCs w:val="0"/>
          <w:color w:val="auto"/>
          <w:sz w:val="28"/>
          <w:szCs w:val="28"/>
          <w:lang w:val="en-US" w:eastAsia="zh-CN"/>
        </w:rPr>
        <w:t xml:space="preserve">美观度</w:t>
      </w:r>
      <w:r>
        <w:rPr>
          <w:rFonts w:hint="eastAsia" w:ascii="仿宋" w:hAnsi="仿宋" w:eastAsia="仿宋"/>
          <w:b w:val="0"/>
          <w:bCs w:val="0"/>
          <w:color w:val="auto"/>
          <w:sz w:val="28"/>
          <w:szCs w:val="28"/>
          <w:lang w:eastAsia="zh-CN"/>
        </w:rPr>
        <w:t xml:space="preserve">、</w:t>
      </w:r>
      <w:r>
        <w:rPr>
          <w:rFonts w:hint="eastAsia" w:ascii="仿宋" w:hAnsi="仿宋" w:eastAsia="仿宋"/>
          <w:b w:val="0"/>
          <w:bCs w:val="0"/>
          <w:color w:val="auto"/>
          <w:sz w:val="28"/>
          <w:szCs w:val="28"/>
        </w:rPr>
        <w:t xml:space="preserve">样品用料是否精良</w:t>
      </w:r>
      <w:r>
        <w:rPr>
          <w:rFonts w:hint="eastAsia" w:ascii="仿宋" w:hAnsi="仿宋" w:eastAsia="仿宋"/>
          <w:b w:val="0"/>
          <w:bCs w:val="0"/>
          <w:color w:val="auto"/>
          <w:sz w:val="28"/>
          <w:szCs w:val="28"/>
          <w:lang w:eastAsia="zh-CN"/>
        </w:rPr>
        <w:t xml:space="preserve">、</w:t>
      </w:r>
      <w:r>
        <w:rPr>
          <w:rFonts w:hint="eastAsia" w:ascii="仿宋" w:hAnsi="仿宋" w:eastAsia="仿宋"/>
          <w:b w:val="0"/>
          <w:bCs w:val="0"/>
          <w:color w:val="auto"/>
          <w:sz w:val="28"/>
          <w:szCs w:val="28"/>
        </w:rPr>
        <w:t xml:space="preserve">样品工艺是否精湛</w:t>
      </w:r>
      <w:r>
        <w:rPr>
          <w:rFonts w:hint="eastAsia" w:ascii="仿宋" w:hAnsi="仿宋" w:eastAsia="仿宋"/>
          <w:b w:val="0"/>
          <w:bCs w:val="0"/>
          <w:color w:val="auto"/>
          <w:sz w:val="28"/>
          <w:szCs w:val="28"/>
          <w:lang w:eastAsia="zh-CN"/>
        </w:rPr>
        <w:t xml:space="preserve">、</w:t>
      </w:r>
      <w:r>
        <w:rPr>
          <w:rFonts w:hint="eastAsia" w:ascii="仿宋" w:hAnsi="仿宋" w:eastAsia="仿宋"/>
          <w:b w:val="0"/>
          <w:bCs w:val="0"/>
          <w:color w:val="auto"/>
          <w:sz w:val="28"/>
          <w:szCs w:val="28"/>
        </w:rPr>
        <w:t xml:space="preserve">样品承载力及稳固性</w:t>
      </w:r>
      <w:r>
        <w:rPr>
          <w:rFonts w:hint="eastAsia" w:ascii="仿宋" w:hAnsi="仿宋" w:eastAsia="仿宋"/>
          <w:b w:val="0"/>
          <w:bCs w:val="0"/>
          <w:color w:val="auto"/>
          <w:sz w:val="28"/>
          <w:szCs w:val="28"/>
          <w:lang w:val="en-US" w:eastAsia="zh-CN"/>
        </w:rPr>
        <w:t xml:space="preserve">等</w:t>
      </w:r>
      <w:r>
        <w:rPr>
          <w:rFonts w:hint="eastAsia" w:ascii="仿宋" w:hAnsi="仿宋" w:eastAsia="仿宋"/>
          <w:b w:val="0"/>
          <w:bCs w:val="0"/>
          <w:color w:val="auto"/>
          <w:sz w:val="28"/>
          <w:szCs w:val="28"/>
        </w:rPr>
        <w:t xml:space="preserve">方面进行评审</w:t>
      </w:r>
      <w:r>
        <w:rPr>
          <w:rFonts w:hint="eastAsia" w:ascii="仿宋" w:hAnsi="仿宋" w:eastAsia="仿宋"/>
          <w:b w:val="0"/>
          <w:bCs w:val="0"/>
          <w:color w:val="auto"/>
          <w:sz w:val="28"/>
          <w:szCs w:val="28"/>
          <w:lang w:eastAsia="zh-CN"/>
        </w:rPr>
        <w:t xml:space="preserve">；</w:t>
      </w:r>
      <w:r>
        <w:rPr>
          <w:rFonts w:hint="eastAsia" w:ascii="仿宋" w:hAnsi="仿宋" w:eastAsia="仿宋"/>
          <w:b w:val="0"/>
          <w:bCs w:val="0"/>
          <w:color w:val="auto"/>
          <w:sz w:val="28"/>
          <w:szCs w:val="28"/>
        </w:rPr>
        <w:t xml:space="preserve">优于项目需求的得</w:t>
      </w:r>
      <w:r>
        <w:rPr>
          <w:rFonts w:hint="eastAsia" w:ascii="仿宋" w:hAnsi="仿宋" w:eastAsia="仿宋"/>
          <w:b w:val="0"/>
          <w:bCs w:val="0"/>
          <w:color w:val="auto"/>
          <w:sz w:val="28"/>
          <w:szCs w:val="28"/>
          <w:lang w:val="en-US" w:eastAsia="zh-CN"/>
        </w:rPr>
        <w:t xml:space="preserve">11</w:t>
      </w:r>
      <w:r>
        <w:rPr>
          <w:rFonts w:hint="eastAsia" w:ascii="仿宋" w:hAnsi="仿宋" w:eastAsia="仿宋"/>
          <w:b w:val="0"/>
          <w:bCs w:val="0"/>
          <w:color w:val="auto"/>
          <w:sz w:val="28"/>
          <w:szCs w:val="28"/>
        </w:rPr>
        <w:t xml:space="preserve">分，满足项目需求的得</w:t>
      </w:r>
      <w:r>
        <w:rPr>
          <w:rFonts w:hint="eastAsia" w:ascii="仿宋" w:hAnsi="仿宋" w:eastAsia="仿宋"/>
          <w:b w:val="0"/>
          <w:bCs w:val="0"/>
          <w:color w:val="auto"/>
          <w:sz w:val="28"/>
          <w:szCs w:val="28"/>
          <w:lang w:val="en-US" w:eastAsia="zh-CN"/>
        </w:rPr>
        <w:t xml:space="preserve">7</w:t>
      </w:r>
      <w:r>
        <w:rPr>
          <w:rFonts w:hint="eastAsia" w:ascii="仿宋" w:hAnsi="仿宋" w:eastAsia="仿宋"/>
          <w:b w:val="0"/>
          <w:bCs w:val="0"/>
          <w:color w:val="auto"/>
          <w:sz w:val="28"/>
          <w:szCs w:val="28"/>
        </w:rPr>
        <w:t xml:space="preserve">分，基本符合项目需求得</w:t>
      </w:r>
      <w:r>
        <w:rPr>
          <w:rFonts w:hint="eastAsia" w:ascii="仿宋" w:hAnsi="仿宋" w:eastAsia="仿宋"/>
          <w:b w:val="0"/>
          <w:bCs w:val="0"/>
          <w:color w:val="auto"/>
          <w:sz w:val="28"/>
          <w:szCs w:val="28"/>
          <w:lang w:val="en-US" w:eastAsia="zh-CN"/>
        </w:rPr>
        <w:t xml:space="preserve">3</w:t>
      </w:r>
      <w:r>
        <w:rPr>
          <w:rFonts w:hint="eastAsia" w:ascii="仿宋" w:hAnsi="仿宋" w:eastAsia="仿宋"/>
          <w:b w:val="0"/>
          <w:bCs w:val="0"/>
          <w:color w:val="auto"/>
          <w:sz w:val="28"/>
          <w:szCs w:val="28"/>
        </w:rPr>
        <w:t xml:space="preserve">分。</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（三）样品3：小型净化恒湿机（2分）</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投标人提供小型净化恒湿机样品一台，本项满分2分，不具备功能或者未提供样品的不得分。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1、净化恒湿机液晶屏能显示温、湿度和设定湿度，</w:t>
      </w:r>
      <w:r>
        <w:rPr>
          <w:rFonts w:hint="eastAsia" w:ascii="仿宋" w:hAnsi="仿宋" w:eastAsia="仿宋" w:cs="仿宋"/>
          <w:bCs/>
          <w:color w:val="auto"/>
          <w:sz w:val="28"/>
          <w:szCs w:val="28"/>
          <w:highlight w:val="none"/>
          <w:lang w:val="en-US" w:eastAsia="zh-CN"/>
        </w:rPr>
        <w:t xml:space="preserve">可以在显示面板上设置目标湿度及上下限值。</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2、净化恒湿机内置水箱缺水时，演示自动加水并介绍自动加水设计及原理。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lang w:val="en-US" w:eastAsia="zh-CN"/>
        </w:rPr>
        <w:t xml:space="preserve">评委根据根据上述内容及</w:t>
      </w:r>
      <w:r>
        <w:rPr>
          <w:rFonts w:hint="eastAsia" w:ascii="仿宋" w:hAnsi="仿宋" w:eastAsia="仿宋"/>
          <w:color w:val="auto"/>
          <w:sz w:val="28"/>
          <w:szCs w:val="28"/>
        </w:rPr>
        <w:t xml:space="preserve">样品外观</w:t>
      </w:r>
      <w:r>
        <w:rPr>
          <w:rFonts w:hint="eastAsia" w:ascii="仿宋" w:hAnsi="仿宋" w:eastAsia="仿宋"/>
          <w:color w:val="auto"/>
          <w:sz w:val="28"/>
          <w:szCs w:val="28"/>
          <w:lang w:val="en-US" w:eastAsia="zh-CN"/>
        </w:rPr>
        <w:t xml:space="preserve">美观度</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样品用料是否精良</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样品工艺是否精湛</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样品承载力及稳固性</w:t>
      </w:r>
      <w:r>
        <w:rPr>
          <w:rFonts w:hint="eastAsia" w:ascii="仿宋" w:hAnsi="仿宋" w:eastAsia="仿宋"/>
          <w:color w:val="auto"/>
          <w:sz w:val="28"/>
          <w:szCs w:val="28"/>
          <w:lang w:val="en-US" w:eastAsia="zh-CN"/>
        </w:rPr>
        <w:t xml:space="preserve">等</w:t>
      </w:r>
      <w:r>
        <w:rPr>
          <w:rFonts w:hint="eastAsia" w:ascii="仿宋" w:hAnsi="仿宋" w:eastAsia="仿宋"/>
          <w:color w:val="auto"/>
          <w:sz w:val="28"/>
          <w:szCs w:val="28"/>
        </w:rPr>
        <w:t xml:space="preserve">方面进行评审</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优于项目需求的得</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分，满足项目需求的得</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分，基本符合项目需求得</w:t>
      </w:r>
      <w:r>
        <w:rPr>
          <w:rFonts w:hint="eastAsia" w:ascii="仿宋" w:hAnsi="仿宋" w:eastAsia="仿宋"/>
          <w:color w:val="auto"/>
          <w:sz w:val="28"/>
          <w:szCs w:val="28"/>
          <w:highlight w:val="none"/>
          <w:lang w:val="en-US" w:eastAsia="zh-CN"/>
        </w:rPr>
        <w:t xml:space="preserve">0.5</w:t>
      </w:r>
      <w:r>
        <w:rPr>
          <w:rFonts w:hint="eastAsia" w:ascii="仿宋" w:hAnsi="仿宋" w:eastAsia="仿宋"/>
          <w:color w:val="auto"/>
          <w:sz w:val="28"/>
          <w:szCs w:val="28"/>
          <w:highlight w:val="none"/>
        </w:rPr>
        <w:t xml:space="preserve">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注：①请隐去所有样品上面的投标人名称、投标人商标等标记，否则不得分。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②投标人必须将提供的样品送至淮安市健康西路146-1号淮安市博物馆地下车库指定样品存放区，2025年</w:t>
      </w: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29</w:t>
      </w:r>
      <w:r>
        <w:rPr>
          <w:rFonts w:hint="eastAsia" w:ascii="仿宋" w:hAnsi="仿宋" w:eastAsia="仿宋"/>
          <w:color w:val="auto"/>
          <w:sz w:val="28"/>
          <w:szCs w:val="28"/>
          <w:highlight w:val="none"/>
        </w:rPr>
        <w:t xml:space="preserve">日12:00至17:00货物进场，不得进行拆装工作。2025年</w:t>
      </w: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日8:00至20:00进行样品安装工作。投标人需服从招标单位管理要求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王</w:t>
      </w:r>
      <w:r>
        <w:rPr>
          <w:rFonts w:hint="eastAsia" w:ascii="仿宋" w:hAnsi="仿宋" w:eastAsia="仿宋"/>
          <w:color w:val="auto"/>
          <w:sz w:val="28"/>
          <w:szCs w:val="28"/>
          <w:highlight w:val="none"/>
          <w:lang w:val="en-US" w:eastAsia="zh-CN"/>
        </w:rPr>
        <w:t xml:space="preserve">伟</w:t>
      </w:r>
      <w:r>
        <w:rPr>
          <w:rFonts w:hint="eastAsia" w:ascii="仿宋" w:hAnsi="仿宋" w:eastAsia="仿宋"/>
          <w:color w:val="auto"/>
          <w:sz w:val="28"/>
          <w:szCs w:val="28"/>
          <w:highlight w:val="none"/>
        </w:rPr>
        <w:t xml:space="preserve">，联系方式：15950381267。</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default" w:ascii="仿宋" w:hAnsi="仿宋" w:eastAsia="仿宋"/>
          <w:color w:val="auto"/>
          <w:sz w:val="28"/>
          <w:szCs w:val="28"/>
          <w:highlight w:val="none"/>
        </w:rPr>
        <w:t xml:space="preserve">③</w:t>
      </w:r>
      <w:r>
        <w:rPr>
          <w:rFonts w:hint="eastAsia" w:ascii="仿宋" w:hAnsi="仿宋" w:eastAsia="仿宋"/>
          <w:color w:val="auto"/>
          <w:sz w:val="28"/>
          <w:szCs w:val="28"/>
          <w:highlight w:val="none"/>
        </w:rPr>
        <w:t xml:space="preserve">开标时，由</w:t>
      </w:r>
      <w:r>
        <w:rPr>
          <w:rFonts w:hint="eastAsia" w:ascii="仿宋" w:hAnsi="仿宋" w:eastAsia="仿宋"/>
          <w:color w:val="auto"/>
          <w:sz w:val="28"/>
          <w:szCs w:val="28"/>
          <w:highlight w:val="none"/>
          <w:lang w:val="en-US" w:eastAsia="zh-CN"/>
        </w:rPr>
        <w:t xml:space="preserve">代理机构</w:t>
      </w:r>
      <w:r>
        <w:rPr>
          <w:rFonts w:hint="eastAsia" w:ascii="仿宋" w:hAnsi="仿宋" w:eastAsia="仿宋"/>
          <w:color w:val="auto"/>
          <w:sz w:val="28"/>
          <w:szCs w:val="28"/>
          <w:highlight w:val="none"/>
        </w:rPr>
        <w:t xml:space="preserve">工作人员统一组织评委至样品存放地进行察看，监督人员全程监督。</w:t>
      </w:r>
      <w:r/>
    </w:p>
    <w:p>
      <w:pPr>
        <w:ind w:firstLine="560"/>
        <w:keepLines w:val="0"/>
        <w:keepNext w:val="0"/>
        <w:pageBreakBefore w:val="0"/>
        <w:spacing w:line="520" w:lineRule="exact"/>
        <w:rPr>
          <w:rFonts w:hint="eastAsia" w:ascii="仿宋" w:hAnsi="仿宋" w:eastAsia="仿宋" w:cs="仿宋"/>
          <w:bCs/>
          <w:color w:val="auto"/>
          <w:sz w:val="28"/>
          <w:szCs w:val="28"/>
          <w:highlight w:val="none"/>
          <w:lang w:val="en-US" w:eastAsia="zh-CN"/>
        </w:rPr>
        <w:outlineLvl w:val="9"/>
      </w:pPr>
      <w:r>
        <w:rPr>
          <w:rFonts w:hint="eastAsia" w:ascii="仿宋" w:hAnsi="仿宋" w:eastAsia="仿宋"/>
          <w:color w:val="auto"/>
          <w:sz w:val="28"/>
          <w:szCs w:val="28"/>
          <w:highlight w:val="none"/>
        </w:rPr>
        <w:t xml:space="preserve">④投标人提供的样品在中标后由采购人封存作为验收使用，但中标供应商在供货、安装及采购人验收时对产品的款式、材质、整体工艺、尺寸等要求将严格按照招标文件第五章要求进行查验，任何查验内容的不符合，都将导致项目验收不合格，除非是经过采购人同意的优化设计。未中标人的样品在评标结束后投标人自行搬离。</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⑤</w:t>
      </w:r>
      <w:r>
        <w:rPr>
          <w:rFonts w:hint="eastAsia" w:ascii="仿宋" w:hAnsi="仿宋" w:eastAsia="仿宋" w:cs="仿宋"/>
          <w:color w:val="auto"/>
          <w:sz w:val="28"/>
          <w:szCs w:val="28"/>
          <w:lang w:val="en-US" w:eastAsia="zh-CN"/>
        </w:rPr>
        <w:t xml:space="preserve">其它</w:t>
      </w:r>
      <w:r>
        <w:rPr>
          <w:rFonts w:hint="eastAsia" w:ascii="仿宋" w:hAnsi="仿宋" w:eastAsia="仿宋" w:cs="仿宋"/>
          <w:color w:val="auto"/>
          <w:sz w:val="28"/>
          <w:szCs w:val="28"/>
        </w:rPr>
        <w:t xml:space="preserve">要求：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各投标人</w:t>
      </w:r>
      <w:r>
        <w:rPr>
          <w:rFonts w:hint="eastAsia" w:ascii="仿宋" w:hAnsi="仿宋" w:eastAsia="仿宋" w:cs="仿宋"/>
          <w:color w:val="auto"/>
          <w:sz w:val="28"/>
          <w:szCs w:val="28"/>
          <w:lang w:val="en-US" w:eastAsia="zh-CN"/>
        </w:rPr>
        <w:t xml:space="preserve">需有一名人员在投标现场进行样柜操作，介绍工作，人员在样品演示的过程中言语、着装、行为等不得显示产品的品牌，否则样品不得分。</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各投标人必须按照规定的地点和时间，进行展柜样柜的运输、安装和调试。样品搬运和组装时请注意对场地和设施的保护，如发生损坏，须负责修复或承担赔偿金，赔偿金以核定金额为准。</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为保护各投标人样柜的核心知识产权，样柜安装及摆放场地配有监控系统，</w:t>
      </w:r>
      <w:r>
        <w:rPr>
          <w:rFonts w:hint="eastAsia" w:ascii="仿宋" w:hAnsi="仿宋" w:eastAsia="仿宋" w:cs="仿宋"/>
          <w:color w:val="auto"/>
          <w:sz w:val="28"/>
          <w:szCs w:val="28"/>
          <w:lang w:val="en-US" w:eastAsia="zh-CN"/>
        </w:rPr>
        <w:t xml:space="preserve">各投标人可以视情况自行遮挡。</w:t>
      </w:r>
      <w:r>
        <w:rPr>
          <w:rFonts w:hint="eastAsia" w:ascii="仿宋" w:hAnsi="仿宋" w:eastAsia="仿宋" w:cs="仿宋"/>
          <w:color w:val="auto"/>
          <w:sz w:val="28"/>
          <w:szCs w:val="28"/>
        </w:rPr>
        <w:t xml:space="preserve">进入场地的投标单位相关人员不得将手机、录像机、照相机、微型摄像机等影像记录设备带入场地。如发现有录像、拍照及破坏其他投标人样柜的行为，</w:t>
      </w:r>
      <w:r>
        <w:rPr>
          <w:rFonts w:hint="eastAsia" w:ascii="仿宋" w:hAnsi="仿宋" w:eastAsia="仿宋" w:cs="仿宋"/>
          <w:color w:val="auto"/>
          <w:sz w:val="28"/>
          <w:szCs w:val="28"/>
          <w:lang w:eastAsia="zh-CN"/>
        </w:rPr>
        <w:t xml:space="preserve">采购人</w:t>
      </w:r>
      <w:r>
        <w:rPr>
          <w:rFonts w:hint="eastAsia" w:ascii="仿宋" w:hAnsi="仿宋" w:eastAsia="仿宋" w:cs="仿宋"/>
          <w:color w:val="auto"/>
          <w:sz w:val="28"/>
          <w:szCs w:val="28"/>
        </w:rPr>
        <w:t xml:space="preserve">按相关规定处理并追究其责任。</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5、商务部分：8分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投标人具有质量管理体系认证、环境管理体系认证、职业健康安全管理体系认证的，每有一个得1分，本项最多得3分，没有不得分。（提供认证证书及“全国认证认可信息公共服务平台”查询截图扫描件加盖投标人电子签章上传至投标文件）</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（2）投标人在原质保期限2年的基础上，承诺额外每多提供一年质保期限的得0.5分，本项最多得2分，不承诺不得分。（提供承诺书加盖投标人电子签章）</w:t>
      </w:r>
      <w:r/>
    </w:p>
    <w:p>
      <w:pPr>
        <w:ind w:firstLine="560"/>
        <w:jc w:val="left"/>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投标人自2022年10月1日以来（以合同签订时间为准），承接过类似展柜项目业绩的，每提供一个得1分，本项最多得3分，没有不得分。（提供合同和中标通知书扫描件并加盖投标人电子签章上传至投标文件，时间以合同签订日期为准，合同须体现打分因素项，如合同中不能反映项目内容的，还需提供加盖用户单位公章的证明材料）</w:t>
      </w:r>
      <w:r/>
    </w:p>
    <w:p>
      <w:pPr>
        <w:jc w:val="left"/>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jc w:val="left"/>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jc w:val="left"/>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jc w:val="left"/>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jc w:val="both"/>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第四章  合同格式及条款</w:t>
      </w:r>
      <w:r/>
    </w:p>
    <w:p>
      <w:pPr>
        <w:ind w:firstLine="560"/>
        <w:spacing w:line="520" w:lineRule="exact"/>
        <w:tabs>
          <w:tab w:val="left" w:pos="180" w:leader="none"/>
        </w:tabs>
        <w:rPr>
          <w:rFonts w:hint="eastAsia" w:ascii="仿宋" w:hAnsi="仿宋" w:eastAsia="仿宋" w:cs="仿宋"/>
          <w:color w:val="auto"/>
          <w:sz w:val="32"/>
          <w:highlight w:val="none"/>
        </w:rPr>
      </w:pPr>
      <w:r>
        <w:rPr>
          <w:rFonts w:hint="eastAsia" w:ascii="仿宋" w:hAnsi="仿宋" w:eastAsia="仿宋" w:cs="仿宋"/>
          <w:bCs/>
          <w:color w:val="auto"/>
          <w:sz w:val="28"/>
          <w:szCs w:val="28"/>
          <w:highlight w:val="none"/>
        </w:rPr>
        <w:t xml:space="preserve">注</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851"/>
        <w:ind w:firstLine="306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1"/>
        <w:ind w:firstLine="306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一、合同格式</w:t>
      </w:r>
      <w:r/>
    </w:p>
    <w:p>
      <w:pPr>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pStyle w:val="851"/>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乙方</w:t>
      </w:r>
      <w:r>
        <w:rPr>
          <w:rFonts w:hint="eastAsia" w:ascii="仿宋" w:hAnsi="仿宋" w:eastAsia="仿宋" w:cs="仿宋"/>
          <w:color w:val="auto"/>
          <w:sz w:val="28"/>
          <w:szCs w:val="28"/>
          <w:highlight w:val="none"/>
          <w:lang w:eastAsia="zh-CN"/>
        </w:rPr>
        <w:t xml:space="preserve">：</w:t>
      </w:r>
      <w:r/>
    </w:p>
    <w:p>
      <w:pPr>
        <w:pStyle w:val="851"/>
        <w:ind w:firstLine="635"/>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甲、乙双方根据项目编号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采购项目公开招标采购结果及招标文件的要求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经协商一致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达成如下购销合同</w:t>
      </w:r>
      <w:r>
        <w:rPr>
          <w:rFonts w:hint="eastAsia" w:ascii="仿宋" w:hAnsi="仿宋" w:eastAsia="仿宋" w:cs="仿宋"/>
          <w:color w:val="auto"/>
          <w:sz w:val="28"/>
          <w:szCs w:val="28"/>
          <w:highlight w:val="none"/>
          <w:lang w:eastAsia="zh-CN"/>
        </w:rPr>
        <w:t xml:space="preserve">：</w:t>
      </w:r>
      <w:r/>
    </w:p>
    <w:p>
      <w:pPr>
        <w:pStyle w:val="851"/>
        <w:ind w:left="-359" w:firstLine="963"/>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highlight w:val="none"/>
        </w:rPr>
        <w:t xml:space="preserve">、货物及数量</w:t>
      </w:r>
      <w:r/>
    </w:p>
    <w:p>
      <w:pPr>
        <w:pStyle w:val="851"/>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本合同所提供的货物及数量详见“项目</w:t>
      </w:r>
      <w:r>
        <w:rPr>
          <w:rFonts w:hint="eastAsia" w:ascii="仿宋" w:hAnsi="仿宋" w:eastAsia="仿宋" w:cs="仿宋"/>
          <w:color w:val="auto"/>
          <w:sz w:val="28"/>
          <w:highlight w:val="none"/>
        </w:rPr>
        <w:t xml:space="preserve">采购需求</w:t>
      </w:r>
      <w:r>
        <w:rPr>
          <w:rFonts w:hint="eastAsia" w:ascii="仿宋" w:hAnsi="仿宋" w:eastAsia="仿宋" w:cs="仿宋"/>
          <w:color w:val="auto"/>
          <w:sz w:val="28"/>
          <w:szCs w:val="24"/>
          <w:highlight w:val="none"/>
        </w:rPr>
        <w:t xml:space="preserve">”。</w:t>
      </w:r>
      <w:r/>
    </w:p>
    <w:p>
      <w:pPr>
        <w:pStyle w:val="851"/>
        <w:ind w:left="-359" w:firstLine="963"/>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二、合同金额</w:t>
      </w:r>
      <w:r/>
    </w:p>
    <w:p>
      <w:pPr>
        <w:pStyle w:val="851"/>
        <w:ind w:firstLine="495"/>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本合同的总金额(大写)为</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元人民币，分项价格详见乙方提交的投标报价明细表。</w:t>
      </w:r>
      <w:r/>
    </w:p>
    <w:p>
      <w:pPr>
        <w:pStyle w:val="851"/>
        <w:ind w:left="-359" w:firstLine="963"/>
        <w:spacing w:line="520" w:lineRule="exact"/>
        <w:rPr>
          <w:rFonts w:hint="eastAsia" w:ascii="仿宋" w:hAnsi="仿宋" w:eastAsia="仿宋" w:cs="仿宋"/>
          <w:bCs/>
          <w:color w:val="auto"/>
          <w:sz w:val="28"/>
          <w:szCs w:val="32"/>
          <w:highlight w:val="none"/>
        </w:rPr>
      </w:pPr>
      <w:r>
        <w:rPr>
          <w:rFonts w:hint="eastAsia" w:ascii="仿宋" w:hAnsi="仿宋" w:eastAsia="仿宋" w:cs="仿宋"/>
          <w:bCs/>
          <w:color w:val="auto"/>
          <w:sz w:val="28"/>
          <w:szCs w:val="32"/>
          <w:highlight w:val="none"/>
        </w:rPr>
        <w:t xml:space="preserve">三、</w:t>
      </w:r>
      <w:r>
        <w:rPr>
          <w:rFonts w:hint="eastAsia" w:ascii="仿宋" w:hAnsi="仿宋" w:eastAsia="仿宋" w:cs="仿宋"/>
          <w:color w:val="auto"/>
          <w:sz w:val="28"/>
          <w:highlight w:val="none"/>
        </w:rPr>
        <w:t xml:space="preserve">供货时间和地点</w:t>
      </w:r>
      <w:r/>
    </w:p>
    <w:p>
      <w:pPr>
        <w:pStyle w:val="851"/>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本合同供货时间和地点在招标文件中有明确规定。</w:t>
      </w:r>
      <w:r/>
    </w:p>
    <w:p>
      <w:pPr>
        <w:pStyle w:val="851"/>
        <w:ind w:left="-357" w:firstLine="963"/>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四、付款</w:t>
      </w:r>
      <w:r/>
    </w:p>
    <w:p>
      <w:pPr>
        <w:pStyle w:val="851"/>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本合同的付款条件在</w:t>
      </w:r>
      <w:r>
        <w:rPr>
          <w:rFonts w:hint="eastAsia" w:ascii="仿宋" w:hAnsi="仿宋" w:eastAsia="仿宋" w:cs="仿宋"/>
          <w:color w:val="auto"/>
          <w:sz w:val="28"/>
          <w:szCs w:val="28"/>
          <w:highlight w:val="none"/>
        </w:rPr>
        <w:t xml:space="preserve">招标文件</w:t>
      </w:r>
      <w:r>
        <w:rPr>
          <w:rFonts w:hint="eastAsia" w:ascii="仿宋" w:hAnsi="仿宋" w:eastAsia="仿宋" w:cs="仿宋"/>
          <w:color w:val="auto"/>
          <w:sz w:val="28"/>
          <w:szCs w:val="24"/>
          <w:highlight w:val="none"/>
        </w:rPr>
        <w:t xml:space="preserve">中有明确规定。</w:t>
      </w:r>
      <w:r/>
    </w:p>
    <w:p>
      <w:pPr>
        <w:pStyle w:val="851"/>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pStyle w:val="851"/>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甲方按招标文件相关要求进行。如需委托第三方验收，第三方是指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，验收费用由甲方承担。因乙方交付的货物不符合标准导致甲方重复支出的验收费用，由乙方承担。 </w:t>
      </w:r>
      <w:r/>
    </w:p>
    <w:p>
      <w:pPr>
        <w:pStyle w:val="851"/>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六、履约保证金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本项目不收取</w:t>
      </w:r>
      <w:r>
        <w:rPr>
          <w:rFonts w:hint="eastAsia" w:ascii="仿宋" w:hAnsi="仿宋" w:eastAsia="仿宋" w:cs="仿宋"/>
          <w:color w:val="auto"/>
          <w:sz w:val="28"/>
          <w:szCs w:val="28"/>
          <w:highlight w:val="none"/>
          <w:lang w:eastAsia="zh-CN"/>
        </w:rPr>
        <w:t xml:space="preserve">）</w:t>
      </w:r>
      <w:r/>
    </w:p>
    <w:p>
      <w:pPr>
        <w:pStyle w:val="851"/>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乙方交纳人民币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 </w:t>
      </w:r>
      <w:r>
        <w:rPr>
          <w:rFonts w:hint="eastAsia" w:ascii="仿宋" w:hAnsi="仿宋" w:eastAsia="仿宋" w:cs="仿宋"/>
          <w:color w:val="auto"/>
          <w:sz w:val="28"/>
          <w:szCs w:val="28"/>
          <w:highlight w:val="none"/>
        </w:rPr>
        <w:t xml:space="preserve">作为本合同的履约保证金</w:t>
      </w:r>
      <w:r>
        <w:rPr>
          <w:rFonts w:hint="eastAsia" w:ascii="仿宋" w:hAnsi="仿宋" w:eastAsia="仿宋" w:cs="仿宋"/>
          <w:color w:val="auto"/>
          <w:sz w:val="28"/>
          <w:szCs w:val="28"/>
          <w:highlight w:val="none"/>
          <w:lang w:eastAsia="zh-CN"/>
        </w:rPr>
        <w:t xml:space="preserve">。</w:t>
      </w:r>
      <w:r/>
    </w:p>
    <w:p>
      <w:pPr>
        <w:numPr>
          <w:ilvl w:val="0"/>
          <w:numId w:val="0"/>
        </w:num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乙方提供的履约保证金可以是人民币形式（银行本票、汇票、支票、电汇），或银行保函、担保公司的保证担保或保险公司的保证保险等多种形式。</w:t>
      </w:r>
      <w:r/>
    </w:p>
    <w:p>
      <w:pPr>
        <w:numPr>
          <w:ilvl w:val="0"/>
          <w:numId w:val="0"/>
        </w:numPr>
        <w:ind w:left="70"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rPr>
        <w:t xml:space="preserve">乙方选取银行保函、担保公司的保证担保或保险公司的保证保险等</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向采购人缴纳的，如保函（担保、保险等）的约定期到期但乙方履约仍未结束的，乙方须进行续保。</w:t>
      </w:r>
      <w:r/>
    </w:p>
    <w:p>
      <w:pPr>
        <w:numPr>
          <w:ilvl w:val="0"/>
          <w:numId w:val="0"/>
        </w:numPr>
        <w:ind w:left="70"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8"/>
          <w:szCs w:val="28"/>
          <w:highlight w:val="none"/>
          <w:lang w:eastAsia="zh-CN"/>
        </w:rPr>
        <w:t xml:space="preserve">〔2023〕150号</w:t>
      </w:r>
      <w:r>
        <w:rPr>
          <w:rFonts w:hint="eastAsia" w:ascii="仿宋" w:hAnsi="仿宋" w:eastAsia="仿宋" w:cs="仿宋"/>
          <w:color w:val="auto"/>
          <w:sz w:val="28"/>
          <w:szCs w:val="28"/>
          <w:highlight w:val="none"/>
        </w:rPr>
        <w:t xml:space="preserve">）的要求，登录“政府采购电子履约保函（保险）平台”，选择第三方机构并提交保函（保险）申请，经审核通过后支付相关费用。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如乙方未能履行合同规定的义务，甲方有权从履约保证金中取得补偿。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color w:val="auto"/>
          <w:sz w:val="28"/>
          <w:szCs w:val="28"/>
          <w:highlight w:val="none"/>
          <w:lang w:eastAsia="zh-CN"/>
        </w:rPr>
        <w:t xml:space="preserve">基准利率</w:t>
      </w:r>
      <w:r>
        <w:rPr>
          <w:rFonts w:hint="eastAsia" w:ascii="仿宋" w:hAnsi="仿宋" w:eastAsia="仿宋" w:cs="仿宋"/>
          <w:color w:val="auto"/>
          <w:sz w:val="28"/>
          <w:szCs w:val="28"/>
          <w:highlight w:val="none"/>
        </w:rPr>
        <w:t xml:space="preserve">上浮20%后的利率支付</w:t>
      </w:r>
      <w:r>
        <w:rPr>
          <w:rFonts w:hint="eastAsia" w:ascii="仿宋" w:hAnsi="仿宋" w:eastAsia="仿宋" w:cs="仿宋"/>
          <w:color w:val="auto"/>
          <w:sz w:val="28"/>
          <w:szCs w:val="28"/>
          <w:highlight w:val="none"/>
          <w:lang w:eastAsia="zh-CN"/>
        </w:rPr>
        <w:t xml:space="preserve">逾期</w:t>
      </w:r>
      <w:r>
        <w:rPr>
          <w:rFonts w:hint="eastAsia" w:ascii="仿宋" w:hAnsi="仿宋" w:eastAsia="仿宋" w:cs="仿宋"/>
          <w:color w:val="auto"/>
          <w:sz w:val="28"/>
          <w:szCs w:val="28"/>
          <w:highlight w:val="none"/>
        </w:rPr>
        <w:t xml:space="preserve">资金占用费，但因乙方自身原因导致无法及时退还的除外。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履约保证金在合同约定期间内不予退还</w:t>
      </w:r>
      <w:r>
        <w:rPr>
          <w:rFonts w:hint="eastAsia" w:ascii="仿宋" w:hAnsi="仿宋" w:eastAsia="仿宋" w:cs="仿宋"/>
          <w:color w:val="auto"/>
          <w:sz w:val="28"/>
          <w:szCs w:val="28"/>
          <w:highlight w:val="none"/>
          <w:lang w:eastAsia="zh-CN"/>
        </w:rPr>
        <w:t xml:space="preserve">或者</w:t>
      </w:r>
      <w:r>
        <w:rPr>
          <w:rFonts w:hint="eastAsia" w:ascii="仿宋" w:hAnsi="仿宋" w:eastAsia="仿宋" w:cs="仿宋"/>
          <w:color w:val="auto"/>
          <w:sz w:val="28"/>
          <w:szCs w:val="28"/>
          <w:highlight w:val="none"/>
        </w:rPr>
        <w:t xml:space="preserve">完全有效，履约保证金在项目验收合格后无息退还给乙方。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七、合同纠纷处理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w:t>
      </w:r>
      <w:r>
        <w:rPr>
          <w:rFonts w:hint="eastAsia" w:ascii="仿宋" w:hAnsi="仿宋" w:eastAsia="仿宋" w:cs="仿宋"/>
          <w:color w:val="auto"/>
          <w:sz w:val="28"/>
          <w:szCs w:val="28"/>
          <w:highlight w:val="none"/>
          <w:lang w:eastAsia="zh-CN"/>
        </w:rPr>
        <w:t xml:space="preserve">做</w:t>
      </w:r>
      <w:r>
        <w:rPr>
          <w:rFonts w:hint="eastAsia" w:ascii="仿宋" w:hAnsi="仿宋" w:eastAsia="仿宋" w:cs="仿宋"/>
          <w:color w:val="auto"/>
          <w:sz w:val="28"/>
          <w:szCs w:val="28"/>
          <w:highlight w:val="none"/>
        </w:rPr>
        <w:t xml:space="preserve">如下</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处理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申请仲裁。选定仲裁机构为淮安仲裁委员会。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提起诉讼。约定由采购人所在地</w:t>
      </w:r>
      <w:r>
        <w:rPr>
          <w:rFonts w:hint="eastAsia" w:ascii="仿宋" w:hAnsi="仿宋" w:eastAsia="仿宋" w:cs="仿宋"/>
          <w:color w:val="auto"/>
          <w:sz w:val="28"/>
          <w:szCs w:val="28"/>
          <w:highlight w:val="none"/>
          <w:lang w:val="en-US" w:eastAsia="zh-CN"/>
        </w:rPr>
        <w:t xml:space="preserve">上一级</w:t>
      </w:r>
      <w:r>
        <w:rPr>
          <w:rFonts w:hint="eastAsia" w:ascii="仿宋" w:hAnsi="仿宋" w:eastAsia="仿宋" w:cs="仿宋"/>
          <w:color w:val="auto"/>
          <w:sz w:val="28"/>
          <w:szCs w:val="28"/>
          <w:highlight w:val="none"/>
        </w:rPr>
        <w:t xml:space="preserve">法院管辖。 </w:t>
      </w:r>
      <w:r/>
    </w:p>
    <w:p>
      <w:pPr>
        <w:ind w:firstLine="54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八、合同生效及其</w:t>
      </w:r>
      <w:r>
        <w:rPr>
          <w:rFonts w:hint="eastAsia" w:ascii="仿宋" w:hAnsi="仿宋" w:eastAsia="仿宋" w:cs="仿宋"/>
          <w:color w:val="auto"/>
          <w:sz w:val="28"/>
          <w:szCs w:val="28"/>
          <w:highlight w:val="none"/>
          <w:lang w:eastAsia="zh-CN"/>
        </w:rPr>
        <w:t xml:space="preserve">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本合同经甲、乙双方加盖电子签章后生效。如有变动，必须经甲方、乙方协商一致后，方可更改。</w:t>
      </w:r>
      <w:r/>
    </w:p>
    <w:p>
      <w:pPr>
        <w:ind w:firstLine="54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九、组成本合同的文件包括</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合同格式及条款；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招标文件和乙方的投标文件；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中标通知书；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甲乙双方商定的其他必要文件。 上述合同文件内容互为补充，如有不明确，由甲方负责解释。</w:t>
      </w:r>
      <w:r/>
    </w:p>
    <w:p>
      <w:pPr>
        <w:pStyle w:val="851"/>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1"/>
        <w:spacing w:line="520" w:lineRule="exact"/>
        <w:rPr>
          <w:rFonts w:hint="eastAsia" w:ascii="仿宋" w:hAnsi="仿宋" w:eastAsia="仿宋" w:cs="仿宋"/>
          <w:color w:val="auto"/>
          <w:sz w:val="28"/>
          <w:szCs w:val="24"/>
          <w:highlight w:val="none"/>
          <w:lang w:eastAsia="zh-CN"/>
        </w:rPr>
      </w:pPr>
      <w:r>
        <w:rPr>
          <w:rFonts w:hint="eastAsia" w:ascii="仿宋" w:hAnsi="仿宋" w:eastAsia="仿宋" w:cs="仿宋"/>
          <w:color w:val="auto"/>
          <w:sz w:val="28"/>
          <w:szCs w:val="28"/>
          <w:highlight w:val="none"/>
        </w:rPr>
        <w:t xml:space="preserve">甲</w:t>
      </w:r>
      <w:r>
        <w:rPr>
          <w:rFonts w:hint="eastAsia" w:ascii="仿宋" w:hAnsi="仿宋" w:eastAsia="仿宋" w:cs="仿宋"/>
          <w:color w:val="auto"/>
          <w:sz w:val="28"/>
          <w:szCs w:val="24"/>
          <w:highlight w:val="none"/>
        </w:rPr>
        <w:t xml:space="preserve">    方</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rPr>
        <w:t xml:space="preserve">                          </w:t>
      </w:r>
      <w:r>
        <w:rPr>
          <w:rFonts w:hint="eastAsia" w:ascii="仿宋" w:hAnsi="仿宋" w:eastAsia="仿宋" w:cs="仿宋"/>
          <w:color w:val="auto"/>
          <w:sz w:val="28"/>
          <w:szCs w:val="28"/>
          <w:highlight w:val="none"/>
        </w:rPr>
        <w:t xml:space="preserve">乙</w:t>
      </w:r>
      <w:r>
        <w:rPr>
          <w:rFonts w:hint="eastAsia" w:ascii="仿宋" w:hAnsi="仿宋" w:eastAsia="仿宋" w:cs="仿宋"/>
          <w:color w:val="auto"/>
          <w:sz w:val="28"/>
          <w:szCs w:val="24"/>
          <w:highlight w:val="none"/>
        </w:rPr>
        <w:t xml:space="preserve">    方</w:t>
      </w:r>
      <w:r>
        <w:rPr>
          <w:rFonts w:hint="eastAsia" w:ascii="仿宋" w:hAnsi="仿宋" w:eastAsia="仿宋" w:cs="仿宋"/>
          <w:color w:val="auto"/>
          <w:sz w:val="28"/>
          <w:szCs w:val="24"/>
          <w:highlight w:val="none"/>
          <w:lang w:eastAsia="zh-CN"/>
        </w:rPr>
        <w:t xml:space="preserve">：</w:t>
      </w:r>
      <w:r/>
    </w:p>
    <w:p>
      <w:pPr>
        <w:pStyle w:val="851"/>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单位盖章</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rPr>
        <w:t xml:space="preserve">（电子签章）              单位盖章</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rPr>
        <w:t xml:space="preserve">（电子签章）</w:t>
      </w:r>
      <w:r/>
    </w:p>
    <w:p>
      <w:pPr>
        <w:pStyle w:val="851"/>
        <w:spacing w:line="520" w:lineRule="exact"/>
        <w:rPr>
          <w:rFonts w:hint="eastAsia" w:ascii="仿宋" w:hAnsi="仿宋" w:eastAsia="仿宋" w:cs="仿宋"/>
          <w:color w:val="auto"/>
          <w:sz w:val="28"/>
          <w:szCs w:val="24"/>
          <w:highlight w:val="none"/>
          <w:lang w:eastAsia="zh-CN"/>
        </w:rPr>
      </w:pPr>
      <w:r>
        <w:rPr>
          <w:rFonts w:hint="eastAsia" w:ascii="仿宋" w:hAnsi="仿宋" w:eastAsia="仿宋" w:cs="仿宋"/>
          <w:color w:val="auto"/>
          <w:sz w:val="28"/>
          <w:szCs w:val="24"/>
          <w:highlight w:val="none"/>
        </w:rPr>
        <w:t xml:space="preserve">代表签字</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rPr>
        <w:t xml:space="preserve">                          代表签字</w:t>
      </w:r>
      <w:r>
        <w:rPr>
          <w:rFonts w:hint="eastAsia" w:ascii="仿宋" w:hAnsi="仿宋" w:eastAsia="仿宋" w:cs="仿宋"/>
          <w:color w:val="auto"/>
          <w:sz w:val="28"/>
          <w:szCs w:val="24"/>
          <w:highlight w:val="none"/>
          <w:lang w:eastAsia="zh-CN"/>
        </w:rPr>
        <w:t xml:space="preserve">：</w:t>
      </w:r>
      <w:r/>
    </w:p>
    <w:p>
      <w:pPr>
        <w:pStyle w:val="851"/>
        <w:spacing w:line="520" w:lineRule="exact"/>
        <w:rPr>
          <w:rFonts w:hint="eastAsia" w:ascii="仿宋" w:hAnsi="仿宋" w:eastAsia="仿宋" w:cs="仿宋"/>
          <w:color w:val="auto"/>
          <w:sz w:val="28"/>
          <w:szCs w:val="24"/>
          <w:highlight w:val="none"/>
          <w:lang w:eastAsia="zh-CN"/>
        </w:rPr>
      </w:pPr>
      <w:r>
        <w:rPr>
          <w:rFonts w:hint="eastAsia" w:ascii="仿宋" w:hAnsi="仿宋" w:eastAsia="仿宋" w:cs="仿宋"/>
          <w:color w:val="auto"/>
          <w:sz w:val="28"/>
          <w:szCs w:val="24"/>
          <w:highlight w:val="none"/>
          <w:lang w:eastAsia="zh-CN"/>
        </w:rPr>
        <w:t xml:space="preserve">签订</w:t>
      </w:r>
      <w:r>
        <w:rPr>
          <w:rFonts w:hint="eastAsia" w:ascii="仿宋" w:hAnsi="仿宋" w:eastAsia="仿宋" w:cs="仿宋"/>
          <w:color w:val="auto"/>
          <w:sz w:val="28"/>
          <w:szCs w:val="24"/>
          <w:highlight w:val="none"/>
        </w:rPr>
        <w:t xml:space="preserve">日期</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rPr>
        <w:t xml:space="preserve">                          </w:t>
      </w:r>
      <w:r>
        <w:rPr>
          <w:rFonts w:hint="eastAsia" w:ascii="仿宋" w:hAnsi="仿宋" w:eastAsia="仿宋" w:cs="仿宋"/>
          <w:color w:val="auto"/>
          <w:sz w:val="28"/>
          <w:szCs w:val="24"/>
          <w:highlight w:val="none"/>
          <w:lang w:eastAsia="zh-CN"/>
        </w:rPr>
        <w:t xml:space="preserve">签订</w:t>
      </w:r>
      <w:r>
        <w:rPr>
          <w:rFonts w:hint="eastAsia" w:ascii="仿宋" w:hAnsi="仿宋" w:eastAsia="仿宋" w:cs="仿宋"/>
          <w:color w:val="auto"/>
          <w:sz w:val="28"/>
          <w:szCs w:val="24"/>
          <w:highlight w:val="none"/>
        </w:rPr>
        <w:t xml:space="preserve">日期</w:t>
      </w:r>
      <w:r>
        <w:rPr>
          <w:rFonts w:hint="eastAsia" w:ascii="仿宋" w:hAnsi="仿宋" w:eastAsia="仿宋" w:cs="仿宋"/>
          <w:color w:val="auto"/>
          <w:sz w:val="28"/>
          <w:szCs w:val="24"/>
          <w:highlight w:val="none"/>
          <w:lang w:eastAsia="zh-CN"/>
        </w:rPr>
        <w:t xml:space="preserve">：</w:t>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2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二、合同条款</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1.定义</w:t>
      </w:r>
      <w:r/>
    </w:p>
    <w:p>
      <w:pPr>
        <w:ind w:firstLine="660"/>
        <w:spacing w:line="52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rPr>
        <w:t xml:space="preserve">本合同中下列术语应解释为</w:t>
      </w:r>
      <w:r>
        <w:rPr>
          <w:rFonts w:hint="eastAsia" w:ascii="仿宋" w:hAnsi="仿宋" w:eastAsia="仿宋" w:cs="仿宋"/>
          <w:color w:val="auto"/>
          <w:sz w:val="28"/>
          <w:szCs w:val="28"/>
          <w:highlight w:val="none"/>
          <w:lang w:eastAsia="zh-CN"/>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（4）“服务”系指根据合同规定乙方承担与供货有关的所有辅助服务，如运输、保险以及</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服务，如安装、调试、提供技术援助、培训和其他类似的义务。</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（5）“甲方”系指购买货物（含软件及相关服务）的单位。</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（6）“乙方”系指根据合同规定提供货物（含软件及相关服务）和服务的投标人。</w:t>
      </w:r>
      <w:r/>
    </w:p>
    <w:p>
      <w:pPr>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2.技术规范</w:t>
      </w:r>
      <w:r/>
    </w:p>
    <w:p>
      <w:pPr>
        <w:ind w:firstLine="6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3.专利权</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3.1乙方须保障甲方在使用该货物</w:t>
      </w:r>
      <w:r>
        <w:rPr>
          <w:rFonts w:hint="eastAsia" w:ascii="仿宋" w:hAnsi="仿宋" w:eastAsia="仿宋" w:cs="仿宋"/>
          <w:color w:val="auto"/>
          <w:sz w:val="28"/>
          <w:szCs w:val="28"/>
          <w:highlight w:val="none"/>
        </w:rPr>
        <w:t xml:space="preserve">（含软件及相关服务）</w:t>
      </w:r>
      <w:r>
        <w:rPr>
          <w:rFonts w:hint="eastAsia" w:ascii="仿宋" w:hAnsi="仿宋" w:eastAsia="仿宋" w:cs="仿宋"/>
          <w:color w:val="auto"/>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4.包装要求</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 xml:space="preserve">4.1本项目中涉及商品的包装应按照“财办库〔2020〕123号《关于印发《商品包装政府采购需求标准（试行）》、《快递包装政府采购需求标准（试行）的通知》”执行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在供货、安装过程中</w:t>
      </w:r>
      <w:r>
        <w:rPr>
          <w:rFonts w:hint="eastAsia" w:ascii="仿宋" w:hAnsi="仿宋" w:eastAsia="仿宋" w:cs="仿宋"/>
          <w:color w:val="auto"/>
          <w:sz w:val="28"/>
          <w:szCs w:val="28"/>
          <w:highlight w:val="none"/>
          <w:lang w:eastAsia="zh-CN"/>
        </w:rPr>
        <w:t xml:space="preserve">能</w:t>
      </w:r>
      <w:r>
        <w:rPr>
          <w:rFonts w:hint="eastAsia" w:ascii="仿宋" w:hAnsi="仿宋" w:eastAsia="仿宋" w:cs="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s="仿宋"/>
          <w:color w:val="auto"/>
          <w:sz w:val="28"/>
          <w:szCs w:val="28"/>
          <w:highlight w:val="none"/>
          <w:lang w:eastAsia="zh-CN"/>
        </w:rPr>
        <w:t xml:space="preserve">〔2023〕7号</w:t>
      </w:r>
      <w:r>
        <w:rPr>
          <w:rFonts w:hint="eastAsia" w:ascii="仿宋" w:hAnsi="仿宋" w:eastAsia="仿宋" w:cs="仿宋"/>
          <w:color w:val="auto"/>
          <w:sz w:val="28"/>
          <w:szCs w:val="28"/>
          <w:highlight w:val="none"/>
        </w:rPr>
        <w:t xml:space="preserve">文）执行。</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4.2除合同另有规定外，乙方提供的全部货物</w:t>
      </w:r>
      <w:r>
        <w:rPr>
          <w:rFonts w:hint="eastAsia" w:ascii="仿宋" w:hAnsi="仿宋" w:eastAsia="仿宋" w:cs="仿宋"/>
          <w:color w:val="auto"/>
          <w:sz w:val="28"/>
          <w:szCs w:val="28"/>
          <w:highlight w:val="none"/>
        </w:rPr>
        <w:t xml:space="preserve">（含软件及相关服务），</w:t>
      </w:r>
      <w:r>
        <w:rPr>
          <w:rFonts w:hint="eastAsia" w:ascii="仿宋" w:hAnsi="仿宋" w:eastAsia="仿宋" w:cs="仿宋"/>
          <w:color w:val="auto"/>
          <w:sz w:val="28"/>
          <w:highlight w:val="none"/>
        </w:rPr>
        <w:t xml:space="preserve">均应按相应的标准保护措施进行包装，使包装适应于远距离运输、防潮、防震、防锈和防粗暴装卸，确保货物</w:t>
      </w:r>
      <w:r>
        <w:rPr>
          <w:rFonts w:hint="eastAsia" w:ascii="仿宋" w:hAnsi="仿宋" w:eastAsia="仿宋" w:cs="仿宋"/>
          <w:color w:val="auto"/>
          <w:sz w:val="28"/>
          <w:szCs w:val="28"/>
          <w:highlight w:val="none"/>
        </w:rPr>
        <w:t xml:space="preserve">（含软件及相关服务）</w:t>
      </w:r>
      <w:r>
        <w:rPr>
          <w:rFonts w:hint="eastAsia" w:ascii="仿宋" w:hAnsi="仿宋" w:eastAsia="仿宋" w:cs="仿宋"/>
          <w:color w:val="auto"/>
          <w:sz w:val="28"/>
          <w:highlight w:val="none"/>
        </w:rPr>
        <w:t xml:space="preserve">安全无损运</w:t>
      </w:r>
      <w:r>
        <w:rPr>
          <w:rFonts w:hint="eastAsia" w:ascii="仿宋" w:hAnsi="仿宋" w:eastAsia="仿宋" w:cs="仿宋"/>
          <w:color w:val="auto"/>
          <w:sz w:val="28"/>
          <w:highlight w:val="none"/>
          <w:lang w:eastAsia="zh-CN"/>
        </w:rPr>
        <w:t xml:space="preserve">抵</w:t>
      </w:r>
      <w:r>
        <w:rPr>
          <w:rFonts w:hint="eastAsia" w:ascii="仿宋" w:hAnsi="仿宋" w:eastAsia="仿宋" w:cs="仿宋"/>
          <w:color w:val="auto"/>
          <w:sz w:val="28"/>
          <w:highlight w:val="none"/>
        </w:rPr>
        <w:t xml:space="preserve">现场。由于包装不善所引起的货物</w:t>
      </w:r>
      <w:r>
        <w:rPr>
          <w:rFonts w:hint="eastAsia" w:ascii="仿宋" w:hAnsi="仿宋" w:eastAsia="仿宋" w:cs="仿宋"/>
          <w:color w:val="auto"/>
          <w:sz w:val="28"/>
          <w:szCs w:val="28"/>
          <w:highlight w:val="none"/>
        </w:rPr>
        <w:t xml:space="preserve">（含软件及相关服务）</w:t>
      </w:r>
      <w:r>
        <w:rPr>
          <w:rFonts w:hint="eastAsia" w:ascii="仿宋" w:hAnsi="仿宋" w:eastAsia="仿宋" w:cs="仿宋"/>
          <w:color w:val="auto"/>
          <w:sz w:val="28"/>
          <w:highlight w:val="none"/>
        </w:rPr>
        <w:t xml:space="preserve">锈蚀、损坏和损失均由乙方承担。</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4.3每件包装箱内应附一份详细装箱单和质量合格证。</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5.装运标志</w:t>
      </w:r>
      <w:r/>
    </w:p>
    <w:p>
      <w:pPr>
        <w:ind w:firstLine="6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 乙方应在每一包装箱邻接的四侧用不褪色的油漆以醒目的中文字样做出下列标记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（1）收货人 </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（2）合同号 </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（3）装运标志 </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（4）收货人代号 </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（5）目的地 </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（6）货物（含软件及相关服务）名称、品目号和箱号</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（7）毛重／净重 </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（8）尺寸（长X宽X高，以厘米计） </w:t>
      </w:r>
      <w:r/>
    </w:p>
    <w:p>
      <w:pPr>
        <w:ind w:firstLine="6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5.3因缺少装运标志或者装运标志不明确导致货物在运输、装卸过程中产生的损失，乙方应承担相应的过错责任。</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6.付款方式</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6.1本合同以人民币付款。</w:t>
      </w:r>
      <w:r/>
    </w:p>
    <w:p>
      <w:pPr>
        <w:ind w:firstLine="660"/>
        <w:spacing w:line="52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rPr>
        <w:t xml:space="preserve">6.2乙方应按照与甲方签订的合同规定交货。交货后乙方向甲方提供下列单据，甲方按合同规定审核后付款</w:t>
      </w:r>
      <w:r>
        <w:rPr>
          <w:rFonts w:hint="eastAsia" w:ascii="仿宋" w:hAnsi="仿宋" w:eastAsia="仿宋" w:cs="仿宋"/>
          <w:color w:val="auto"/>
          <w:sz w:val="28"/>
          <w:highlight w:val="none"/>
          <w:lang w:eastAsia="zh-CN"/>
        </w:rPr>
        <w:t xml:space="preserve">：</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（1）发票；</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（2）制造厂家出具的质量检验证书等；</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（3）装箱单；</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（4）验收合格证；</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（5）使用方加盖公章证明货物交付使用合格的验收表。</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6.3甲方将按招标文件中规定的付款方式安排付款。</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7.伴随服务</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7.1乙方应按照国家有关规定和合同中所附的服务承诺提供服务。</w:t>
      </w:r>
      <w:r/>
    </w:p>
    <w:p>
      <w:pPr>
        <w:ind w:firstLine="660"/>
        <w:spacing w:line="52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rPr>
        <w:t xml:space="preserve">7.2除第7.1条规定外，乙方还应提供下列服务</w:t>
      </w:r>
      <w:r>
        <w:rPr>
          <w:rFonts w:hint="eastAsia" w:ascii="仿宋" w:hAnsi="仿宋" w:eastAsia="仿宋" w:cs="仿宋"/>
          <w:color w:val="auto"/>
          <w:sz w:val="28"/>
          <w:highlight w:val="none"/>
          <w:lang w:eastAsia="zh-CN"/>
        </w:rPr>
        <w:t xml:space="preserve">：</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（1）货物的现场安装和启动监督；</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（2）提供货物组装和维修所需的工具；</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7.3伴随服务的费用应含在合同价中，不单独进行支付。</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8.质量保证</w:t>
      </w:r>
      <w:r/>
    </w:p>
    <w:p>
      <w:pPr>
        <w:ind w:firstLine="65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 乙方在收到通知后三十天内应免费维修或更换有缺陷的货物（含软件及相关服务）或部件。 </w:t>
      </w:r>
      <w:r/>
    </w:p>
    <w:p>
      <w:pPr>
        <w:ind w:firstLine="65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 如果乙方在收到通知后三十天内没有弥补缺陷，甲方可采取必要的补救措施，但风险和费用将由乙方承担。</w:t>
      </w:r>
      <w:r/>
    </w:p>
    <w:p>
      <w:pPr>
        <w:ind w:firstLine="65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8.5 除合同专用条款规定外，合同项下货物（含软件及相关服务）的质量保证期为自货物（含软件及相关服务）通过最终验收起12个月。</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9.检验及安装</w:t>
      </w:r>
      <w:r/>
    </w:p>
    <w:p>
      <w:pPr>
        <w:ind w:firstLine="6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仿宋" w:hAnsi="仿宋" w:eastAsia="仿宋" w:cs="仿宋"/>
          <w:b/>
          <w:color w:val="auto"/>
          <w:sz w:val="28"/>
          <w:highlight w:val="none"/>
        </w:rPr>
      </w:pPr>
      <w:r>
        <w:rPr>
          <w:rFonts w:hint="eastAsia" w:ascii="仿宋" w:hAnsi="仿宋" w:eastAsia="仿宋" w:cs="仿宋"/>
          <w:color w:val="auto"/>
          <w:sz w:val="28"/>
          <w:szCs w:val="28"/>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hint="eastAsia" w:ascii="仿宋" w:hAnsi="仿宋" w:eastAsia="仿宋" w:cs="仿宋"/>
          <w:b/>
          <w:color w:val="auto"/>
          <w:sz w:val="28"/>
          <w:highlight w:val="none"/>
        </w:rPr>
      </w:pPr>
      <w:r>
        <w:rPr>
          <w:rFonts w:hint="eastAsia" w:ascii="仿宋" w:hAnsi="仿宋" w:eastAsia="仿宋" w:cs="仿宋"/>
          <w:color w:val="auto"/>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9.4 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9.5 制造厂对所供货物（含软件及相关服务）进行机械运转试验和性能试验时，必须提前通知甲方。 </w:t>
      </w:r>
      <w:r/>
    </w:p>
    <w:p>
      <w:pPr>
        <w:ind w:firstLine="6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9.6 货物（含软件及相关服务）的安装按招标文件要求进行。</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10.索赔</w:t>
      </w:r>
      <w:r/>
    </w:p>
    <w:p>
      <w:pPr>
        <w:ind w:firstLine="65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除责任应由保险公司或运输部门承担的之外，甲方有权根据甲方按检验标准自己检验的结果或当地商检部门出具的商检证书向乙方提出索赔。 </w:t>
      </w:r>
      <w:r/>
    </w:p>
    <w:p>
      <w:pPr>
        <w:ind w:firstLine="658"/>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10.2 在第 8条和第9条规定的检验期和质量保证期内，如果乙方对甲方提出的索赔和差异负有责任，乙方应按照甲方同意的下列一种或多种方式解决索赔事宜</w:t>
      </w:r>
      <w:r>
        <w:rPr>
          <w:rFonts w:hint="eastAsia" w:ascii="仿宋" w:hAnsi="仿宋" w:eastAsia="仿宋" w:cs="仿宋"/>
          <w:color w:val="auto"/>
          <w:sz w:val="28"/>
          <w:szCs w:val="28"/>
          <w:highlight w:val="none"/>
          <w:lang w:eastAsia="zh-CN"/>
        </w:rPr>
        <w:t xml:space="preserve">：</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必要费用。</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10.3 如果在甲方发出索赔通知后30天内，乙方未能答复，</w:t>
      </w:r>
      <w:r>
        <w:rPr>
          <w:rFonts w:hint="eastAsia" w:ascii="仿宋" w:hAnsi="仿宋" w:eastAsia="仿宋" w:cs="仿宋"/>
          <w:color w:val="auto"/>
          <w:sz w:val="28"/>
          <w:szCs w:val="28"/>
          <w:highlight w:val="none"/>
          <w:lang w:eastAsia="zh-CN"/>
        </w:rPr>
        <w:t xml:space="preserve">上述</w:t>
      </w:r>
      <w:r>
        <w:rPr>
          <w:rFonts w:hint="eastAsia" w:ascii="仿宋" w:hAnsi="仿宋" w:eastAsia="仿宋" w:cs="仿宋"/>
          <w:color w:val="auto"/>
          <w:sz w:val="28"/>
          <w:szCs w:val="28"/>
          <w:highlight w:val="none"/>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hint="eastAsia" w:ascii="仿宋" w:hAnsi="仿宋" w:eastAsia="仿宋" w:cs="仿宋"/>
          <w:color w:val="auto"/>
          <w:sz w:val="28"/>
          <w:szCs w:val="28"/>
          <w:highlight w:val="none"/>
          <w:lang w:eastAsia="zh-CN"/>
        </w:rPr>
        <w:t xml:space="preserve">金额</w:t>
      </w:r>
      <w:r>
        <w:rPr>
          <w:rFonts w:hint="eastAsia" w:ascii="仿宋" w:hAnsi="仿宋" w:eastAsia="仿宋" w:cs="仿宋"/>
          <w:color w:val="auto"/>
          <w:sz w:val="28"/>
          <w:szCs w:val="28"/>
          <w:highlight w:val="none"/>
        </w:rPr>
        <w:t xml:space="preserve">。如果这些金额不足以补偿索赔金额，甲方有权向乙方提出不足部分的补偿。</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11.拖延交货</w:t>
      </w:r>
      <w:r/>
    </w:p>
    <w:p>
      <w:pPr>
        <w:ind w:firstLine="567"/>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 乙方应按照合同专用条款中规定的交货期交货和提供服务。 </w:t>
      </w:r>
      <w:r/>
    </w:p>
    <w:p>
      <w:pPr>
        <w:ind w:firstLine="567"/>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 如果乙方毫无理由地拖延交货，将受到以下制裁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没收履约保证金，加收违约损失赔偿</w:t>
      </w:r>
      <w:r>
        <w:rPr>
          <w:rFonts w:hint="eastAsia" w:ascii="仿宋" w:hAnsi="仿宋" w:eastAsia="仿宋" w:cs="仿宋"/>
          <w:color w:val="auto"/>
          <w:sz w:val="28"/>
          <w:szCs w:val="28"/>
          <w:highlight w:val="none"/>
          <w:u w:val="single"/>
        </w:rPr>
        <w:t xml:space="preserve">和／或</w:t>
      </w:r>
      <w:r>
        <w:rPr>
          <w:rFonts w:hint="eastAsia" w:ascii="仿宋" w:hAnsi="仿宋" w:eastAsia="仿宋" w:cs="仿宋"/>
          <w:color w:val="auto"/>
          <w:sz w:val="28"/>
          <w:szCs w:val="28"/>
          <w:highlight w:val="none"/>
        </w:rPr>
        <w:t xml:space="preserve">终止合同。 </w:t>
      </w:r>
      <w:r/>
    </w:p>
    <w:p>
      <w:pPr>
        <w:ind w:firstLine="567"/>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12.误期赔偿</w:t>
      </w:r>
      <w:r/>
    </w:p>
    <w:p>
      <w:pPr>
        <w:ind w:firstLine="567"/>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w:t>
      </w:r>
      <w:r>
        <w:rPr>
          <w:rFonts w:hint="eastAsia" w:ascii="仿宋" w:hAnsi="仿宋" w:eastAsia="仿宋" w:cs="仿宋"/>
          <w:color w:val="auto"/>
          <w:sz w:val="28"/>
          <w:highlight w:val="none"/>
          <w:lang w:eastAsia="zh-CN"/>
        </w:rPr>
        <w:t xml:space="preserve">限度</w:t>
      </w:r>
      <w:r>
        <w:rPr>
          <w:rFonts w:hint="eastAsia" w:ascii="仿宋" w:hAnsi="仿宋" w:eastAsia="仿宋" w:cs="仿宋"/>
          <w:color w:val="auto"/>
          <w:sz w:val="28"/>
          <w:highlight w:val="none"/>
        </w:rPr>
        <w:t xml:space="preserve">为误期货物或服务合同价的5%。一旦达到误期赔偿的最高限额，甲方和见证方可考虑终止合同。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13.不可抗力</w:t>
      </w:r>
      <w:r/>
    </w:p>
    <w:p>
      <w:pPr>
        <w:ind w:firstLine="567"/>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 如果双方中任何一方由于战争、严重火灾、水灾、台风和地震以及</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经双方同意属于不可抗力的事故，致使合同履行受阻时，履行合同的期限应予以延长，延长的期限应相当于事故所影响的时间。 </w:t>
      </w:r>
      <w:r/>
    </w:p>
    <w:p>
      <w:pPr>
        <w:ind w:firstLine="567"/>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14.税费</w:t>
      </w:r>
      <w:r/>
    </w:p>
    <w:p>
      <w:pPr>
        <w:ind w:firstLine="567"/>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14.2中国政府根据现行税法规定对乙方征收的与本合同有关的一切税费均由乙方负担。</w:t>
      </w:r>
      <w:r/>
    </w:p>
    <w:p>
      <w:pPr>
        <w:pStyle w:val="851"/>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15.履约保证金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本项目不收取</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15.1乙方交纳人民币</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u w:val="single"/>
          <w:lang w:val="en-US" w:eastAsia="zh-CN"/>
        </w:rPr>
        <w:t xml:space="preserve">/ </w:t>
      </w:r>
      <w:r>
        <w:rPr>
          <w:rFonts w:hint="eastAsia" w:ascii="仿宋" w:hAnsi="仿宋" w:eastAsia="仿宋" w:cs="仿宋"/>
          <w:b w:val="0"/>
          <w:bCs w:val="0"/>
          <w:color w:val="auto"/>
          <w:sz w:val="28"/>
          <w:szCs w:val="28"/>
          <w:highlight w:val="none"/>
        </w:rPr>
        <w:t xml:space="preserve">作</w:t>
      </w:r>
      <w:r>
        <w:rPr>
          <w:rFonts w:hint="eastAsia" w:ascii="仿宋" w:hAnsi="仿宋" w:eastAsia="仿宋" w:cs="仿宋"/>
          <w:color w:val="auto"/>
          <w:sz w:val="28"/>
          <w:szCs w:val="28"/>
          <w:highlight w:val="none"/>
        </w:rPr>
        <w:t xml:space="preserve">为本合同的履约保证金。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15.3乙方选取银行保函、担保公司的保证担保或保险公司的保证保险等</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向采购人缴纳的，如保函（担保、保险等）的约定期到期但乙方履约仍未结束的，乙方须进行续保。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15.4乙方选取以履约保函（保险）形式向采购人缴纳的，按照《关于在全省政府采购领域推行电子履约保函（保险）的通知》（苏财购</w:t>
      </w:r>
      <w:r>
        <w:rPr>
          <w:rFonts w:hint="eastAsia" w:ascii="仿宋" w:hAnsi="仿宋" w:eastAsia="仿宋" w:cs="仿宋"/>
          <w:color w:val="auto"/>
          <w:sz w:val="28"/>
          <w:szCs w:val="28"/>
          <w:highlight w:val="none"/>
          <w:lang w:eastAsia="zh-CN"/>
        </w:rPr>
        <w:t xml:space="preserve">〔2023〕150号</w:t>
      </w:r>
      <w:r>
        <w:rPr>
          <w:rFonts w:hint="eastAsia" w:ascii="仿宋" w:hAnsi="仿宋" w:eastAsia="仿宋" w:cs="仿宋"/>
          <w:color w:val="auto"/>
          <w:sz w:val="28"/>
          <w:szCs w:val="28"/>
          <w:highlight w:val="none"/>
        </w:rPr>
        <w:t xml:space="preserve">）的要求，登录“政府采购电子履约保函（保险）平台”，选择第三方机构并提交保函（保险）申请，经审核通过后支付相关费用。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15.5如乙方未能履行合同规定的义务，甲方有权从履约保证金中取得补偿。</w:t>
      </w:r>
      <w:r/>
    </w:p>
    <w:p>
      <w:pPr>
        <w:pStyle w:val="851"/>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15.6履约保证金在合同约定期间内不予退还或者应完全有效，约定期间届满之日起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color w:val="auto"/>
          <w:sz w:val="28"/>
          <w:szCs w:val="28"/>
          <w:highlight w:val="none"/>
          <w:lang w:eastAsia="zh-CN"/>
        </w:rPr>
        <w:t xml:space="preserve">基准利率</w:t>
      </w:r>
      <w:r>
        <w:rPr>
          <w:rFonts w:hint="eastAsia" w:ascii="仿宋" w:hAnsi="仿宋" w:eastAsia="仿宋" w:cs="仿宋"/>
          <w:color w:val="auto"/>
          <w:sz w:val="28"/>
          <w:szCs w:val="28"/>
          <w:highlight w:val="none"/>
        </w:rPr>
        <w:t xml:space="preserve">上浮20%后的利率支付超期资金占用费，但因乙方自身原因导致无法及时退还的除外。</w:t>
      </w:r>
      <w:r/>
    </w:p>
    <w:p>
      <w:pPr>
        <w:pStyle w:val="851"/>
        <w:ind w:firstLine="560"/>
        <w:spacing w:line="520" w:lineRule="exact"/>
        <w:rPr>
          <w:rFonts w:hint="eastAsia" w:ascii="仿宋" w:hAnsi="仿宋" w:eastAsia="仿宋" w:cs="仿宋"/>
          <w:color w:val="auto"/>
          <w:sz w:val="32"/>
          <w:szCs w:val="32"/>
          <w:highlight w:val="none"/>
        </w:rPr>
      </w:pPr>
      <w:r>
        <w:rPr>
          <w:rFonts w:hint="eastAsia" w:ascii="仿宋" w:hAnsi="仿宋" w:eastAsia="仿宋" w:cs="仿宋"/>
          <w:color w:val="auto"/>
          <w:sz w:val="28"/>
          <w:szCs w:val="28"/>
          <w:highlight w:val="none"/>
        </w:rPr>
        <w:t xml:space="preserve">15.7履约保证金在合同约定期间内不予退还或者应完全有效，履约保证金在项目验收合格后退还给乙方</w:t>
      </w:r>
      <w:r>
        <w:rPr>
          <w:rFonts w:hint="eastAsia" w:ascii="仿宋" w:hAnsi="仿宋" w:eastAsia="仿宋" w:cs="仿宋"/>
          <w:color w:val="auto"/>
          <w:sz w:val="32"/>
          <w:szCs w:val="32"/>
          <w:highlight w:val="none"/>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.仲裁</w:t>
      </w:r>
      <w:r/>
    </w:p>
    <w:p>
      <w:pPr>
        <w:ind w:firstLine="57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 买卖双方应通过友好协商，解决在执行本合同中所发生的或与本合同有关的一切争端，如果协商仍得不到解决，任何一方均可按</w:t>
      </w:r>
      <w:r>
        <w:rPr>
          <w:rFonts w:hint="eastAsia" w:ascii="仿宋" w:hAnsi="仿宋" w:eastAsia="仿宋" w:cs="仿宋"/>
          <w:color w:val="auto"/>
          <w:sz w:val="28"/>
          <w:szCs w:val="28"/>
          <w:highlight w:val="none"/>
          <w:lang w:eastAsia="zh-CN"/>
        </w:rPr>
        <w:t xml:space="preserve">《中华人民共和国民法典》</w:t>
      </w:r>
      <w:r>
        <w:rPr>
          <w:rFonts w:hint="eastAsia" w:ascii="仿宋" w:hAnsi="仿宋" w:eastAsia="仿宋" w:cs="仿宋"/>
          <w:color w:val="auto"/>
          <w:sz w:val="28"/>
          <w:szCs w:val="28"/>
          <w:highlight w:val="none"/>
        </w:rPr>
        <w:t xml:space="preserve">规定提交调解和仲裁。 </w:t>
      </w:r>
      <w:r/>
    </w:p>
    <w:p>
      <w:pPr>
        <w:ind w:firstLine="57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 仲裁裁决应为终局裁决，对双方均具有约束力。 </w:t>
      </w:r>
      <w:r/>
    </w:p>
    <w:p>
      <w:pPr>
        <w:ind w:firstLine="57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.3 仲裁费除仲裁机构另有裁决外应由败诉方负担。</w:t>
      </w:r>
      <w:r/>
    </w:p>
    <w:p>
      <w:pPr>
        <w:ind w:firstLine="57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.4 在仲裁期间，除正在进行仲裁的部分外，合同</w:t>
      </w:r>
      <w:r>
        <w:rPr>
          <w:rFonts w:hint="eastAsia" w:ascii="仿宋" w:hAnsi="仿宋" w:eastAsia="仿宋" w:cs="仿宋"/>
          <w:color w:val="auto"/>
          <w:sz w:val="28"/>
          <w:szCs w:val="28"/>
          <w:highlight w:val="none"/>
          <w:lang w:eastAsia="zh-CN"/>
        </w:rPr>
        <w:t xml:space="preserve">其他部分</w:t>
      </w:r>
      <w:r>
        <w:rPr>
          <w:rFonts w:hint="eastAsia" w:ascii="仿宋" w:hAnsi="仿宋" w:eastAsia="仿宋" w:cs="仿宋"/>
          <w:color w:val="auto"/>
          <w:sz w:val="28"/>
          <w:szCs w:val="28"/>
          <w:highlight w:val="none"/>
        </w:rPr>
        <w:t xml:space="preserve">继续执行。</w:t>
      </w:r>
      <w:r>
        <w:rPr>
          <w:rFonts w:hint="eastAsia" w:ascii="仿宋" w:hAnsi="仿宋" w:eastAsia="仿宋" w:cs="仿宋"/>
          <w:b/>
          <w:color w:val="auto"/>
          <w:sz w:val="28"/>
          <w:szCs w:val="28"/>
          <w:highlight w:val="non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.违约终止合同</w:t>
      </w:r>
      <w:r/>
    </w:p>
    <w:p>
      <w:pPr>
        <w:pStyle w:val="852"/>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852"/>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（1）如果乙方未能在合同规定的期限或甲方同意延期的限期内提供全部或部分货物（含软件及相关服务）； </w:t>
      </w:r>
      <w:r/>
    </w:p>
    <w:p>
      <w:pPr>
        <w:pStyle w:val="852"/>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（2）如果乙方未能履行合同规定的</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义务。 </w:t>
      </w:r>
      <w:r/>
    </w:p>
    <w:p>
      <w:pPr>
        <w:pStyle w:val="852"/>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51"/>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rPr>
        <w:t xml:space="preserve">.破产中止合同</w:t>
      </w:r>
      <w:r/>
    </w:p>
    <w:p>
      <w:pPr>
        <w:pStyle w:val="851"/>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4"/>
          <w:highlight w:val="none"/>
        </w:rPr>
        <w:t xml:space="preserve"> 1</w:t>
      </w:r>
      <w:r>
        <w:rPr>
          <w:rFonts w:hint="eastAsia" w:ascii="仿宋" w:hAnsi="仿宋" w:eastAsia="仿宋" w:cs="仿宋"/>
          <w:color w:val="auto"/>
          <w:sz w:val="28"/>
          <w:szCs w:val="24"/>
          <w:highlight w:val="none"/>
          <w:lang w:val="en-US" w:eastAsia="zh-CN"/>
        </w:rPr>
        <w:t xml:space="preserve">8</w:t>
      </w:r>
      <w:r>
        <w:rPr>
          <w:rFonts w:hint="eastAsia" w:ascii="仿宋" w:hAnsi="仿宋" w:eastAsia="仿宋" w:cs="仿宋"/>
          <w:color w:val="auto"/>
          <w:sz w:val="28"/>
          <w:szCs w:val="24"/>
          <w:highlight w:val="none"/>
        </w:rPr>
        <w:t xml:space="preserve">.1如果乙方破产或无清偿能力，甲方可在任何时候以书面形式通知乙方中止合同而不给乙方补偿。该中止合同将不损害或影响甲方和使用方已经采取或将要采取的任何行动或补救措施的权力。</w:t>
      </w:r>
      <w:r/>
    </w:p>
    <w:p>
      <w:pPr>
        <w:pStyle w:val="851"/>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9</w:t>
      </w:r>
      <w:r>
        <w:rPr>
          <w:rFonts w:hint="eastAsia" w:ascii="仿宋" w:hAnsi="仿宋" w:eastAsia="仿宋" w:cs="仿宋"/>
          <w:color w:val="auto"/>
          <w:sz w:val="28"/>
          <w:highlight w:val="none"/>
        </w:rPr>
        <w:t xml:space="preserve">.转让</w:t>
      </w:r>
      <w:r/>
    </w:p>
    <w:p>
      <w:pPr>
        <w:pStyle w:val="851"/>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4"/>
          <w:highlight w:val="none"/>
        </w:rPr>
        <w:t xml:space="preserve">1</w:t>
      </w:r>
      <w:r>
        <w:rPr>
          <w:rFonts w:hint="eastAsia" w:ascii="仿宋" w:hAnsi="仿宋" w:eastAsia="仿宋" w:cs="仿宋"/>
          <w:color w:val="auto"/>
          <w:sz w:val="28"/>
          <w:szCs w:val="24"/>
          <w:highlight w:val="none"/>
          <w:lang w:val="en-US" w:eastAsia="zh-CN"/>
        </w:rPr>
        <w:t xml:space="preserve">9</w:t>
      </w:r>
      <w:r>
        <w:rPr>
          <w:rFonts w:hint="eastAsia" w:ascii="仿宋" w:hAnsi="仿宋" w:eastAsia="仿宋" w:cs="仿宋"/>
          <w:color w:val="auto"/>
          <w:sz w:val="28"/>
          <w:szCs w:val="24"/>
          <w:highlight w:val="none"/>
        </w:rPr>
        <w:t xml:space="preserve">.1 除甲方事先书面同意外，乙方不得部分转让或全部转让其应履行的合同义务。</w:t>
      </w:r>
      <w:r/>
    </w:p>
    <w:p>
      <w:pPr>
        <w:pStyle w:val="851"/>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20</w:t>
      </w:r>
      <w:r>
        <w:rPr>
          <w:rFonts w:hint="eastAsia" w:ascii="仿宋" w:hAnsi="仿宋" w:eastAsia="仿宋" w:cs="仿宋"/>
          <w:color w:val="auto"/>
          <w:sz w:val="28"/>
          <w:highlight w:val="none"/>
        </w:rPr>
        <w:t xml:space="preserve">.合同生效及其</w:t>
      </w:r>
      <w:r>
        <w:rPr>
          <w:rFonts w:hint="eastAsia" w:ascii="仿宋" w:hAnsi="仿宋" w:eastAsia="仿宋" w:cs="仿宋"/>
          <w:color w:val="auto"/>
          <w:sz w:val="28"/>
          <w:highlight w:val="none"/>
          <w:lang w:eastAsia="zh-CN"/>
        </w:rPr>
        <w:t xml:space="preserve">他</w:t>
      </w:r>
      <w:r/>
    </w:p>
    <w:p>
      <w:pPr>
        <w:jc w:val="left"/>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招标文件、乙方提交的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851"/>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val="en-US" w:eastAsia="zh-CN"/>
        </w:rPr>
        <w:t xml:space="preserve">20</w:t>
      </w:r>
      <w:r>
        <w:rPr>
          <w:rFonts w:hint="eastAsia" w:ascii="仿宋" w:hAnsi="仿宋" w:eastAsia="仿宋" w:cs="仿宋"/>
          <w:color w:val="auto"/>
          <w:sz w:val="28"/>
          <w:szCs w:val="24"/>
          <w:highlight w:val="none"/>
        </w:rPr>
        <w:t xml:space="preserve">.2</w:t>
      </w:r>
      <w:r>
        <w:rPr>
          <w:rFonts w:hint="eastAsia" w:ascii="仿宋" w:hAnsi="仿宋" w:eastAsia="仿宋" w:cs="仿宋"/>
          <w:color w:val="auto"/>
          <w:sz w:val="28"/>
          <w:szCs w:val="28"/>
          <w:highlight w:val="none"/>
        </w:rPr>
        <w:t xml:space="preserve">本合同经甲、乙双方加盖电子签章后生效。</w:t>
      </w:r>
      <w:r>
        <w:rPr>
          <w:rFonts w:hint="eastAsia" w:ascii="仿宋" w:hAnsi="仿宋" w:eastAsia="仿宋" w:cs="仿宋"/>
          <w:color w:val="auto"/>
          <w:sz w:val="28"/>
          <w:szCs w:val="24"/>
          <w:highlight w:val="none"/>
        </w:rPr>
        <w:t xml:space="preserve">    </w:t>
      </w:r>
      <w:r/>
    </w:p>
    <w:p>
      <w:pPr>
        <w:pStyle w:val="851"/>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rPr>
          <w:rFonts w:hint="eastAsia" w:ascii="仿宋" w:hAnsi="仿宋" w:eastAsia="仿宋" w:cs="仿宋"/>
          <w:color w:val="auto"/>
          <w:sz w:val="28"/>
          <w:szCs w:val="24"/>
          <w:highlight w:val="none"/>
          <w:lang w:val="en-US" w:eastAsia="zh-CN"/>
        </w:rPr>
        <w:t xml:space="preserve">20</w:t>
      </w:r>
      <w:r>
        <w:rPr>
          <w:rFonts w:hint="eastAsia" w:ascii="仿宋" w:hAnsi="仿宋" w:eastAsia="仿宋" w:cs="仿宋"/>
          <w:color w:val="auto"/>
          <w:sz w:val="28"/>
          <w:szCs w:val="24"/>
          <w:highlight w:val="none"/>
        </w:rPr>
        <w:t xml:space="preserve">.3合同货物交付使用后所发生的合同纠纷，甲方与乙方进行处理。</w:t>
      </w:r>
      <w:r/>
    </w:p>
    <w:p>
      <w:pPr>
        <w:pStyle w:val="851"/>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rPr>
          <w:rFonts w:hint="eastAsia" w:ascii="仿宋" w:hAnsi="仿宋" w:eastAsia="仿宋" w:cs="仿宋"/>
          <w:color w:val="auto"/>
          <w:sz w:val="28"/>
          <w:szCs w:val="24"/>
          <w:highlight w:val="none"/>
          <w:lang w:val="en-US" w:eastAsia="zh-CN"/>
        </w:rPr>
        <w:t xml:space="preserve">20</w:t>
      </w:r>
      <w:r>
        <w:rPr>
          <w:rFonts w:hint="eastAsia" w:ascii="仿宋" w:hAnsi="仿宋" w:eastAsia="仿宋" w:cs="仿宋"/>
          <w:color w:val="auto"/>
          <w:sz w:val="28"/>
          <w:szCs w:val="24"/>
          <w:highlight w:val="none"/>
        </w:rPr>
        <w:t xml:space="preserve">.4如需修改或补充合同内容，应经乙方、甲方协商，签署书面修改或补充协议。该协议将作为本合同不可分割的一部分。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highlight w:val="none"/>
          <w:lang w:val="en-US" w:eastAsia="zh-CN"/>
        </w:rPr>
        <w:t xml:space="preserve">20</w:t>
      </w:r>
      <w:r>
        <w:rPr>
          <w:rFonts w:hint="eastAsia" w:ascii="仿宋" w:hAnsi="仿宋" w:eastAsia="仿宋" w:cs="仿宋"/>
          <w:color w:val="auto"/>
          <w:sz w:val="28"/>
          <w:highlight w:val="none"/>
        </w:rPr>
        <w:t xml:space="preserve">.5本合同应按照中华人民共和国的现行法律进行解释。</w:t>
      </w:r>
      <w:r/>
    </w:p>
    <w:p>
      <w:pPr>
        <w:pStyle w:val="851"/>
        <w:ind w:firstLine="2150"/>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51"/>
        <w:ind w:firstLine="2150"/>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51"/>
        <w:ind w:firstLine="2150"/>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51"/>
        <w:ind w:firstLine="2150"/>
        <w:spacing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51"/>
        <w:ind w:firstLine="2331"/>
        <w:spacing w:line="520" w:lineRule="exact"/>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rPr>
        <w:br w:type="page" w:clear="all"/>
      </w:r>
      <w:r>
        <w:rPr>
          <w:rFonts w:hint="eastAsia" w:ascii="仿宋" w:hAnsi="仿宋" w:eastAsia="仿宋" w:cs="仿宋"/>
          <w:b/>
          <w:bCs/>
          <w:color w:val="auto"/>
          <w:sz w:val="36"/>
          <w:szCs w:val="36"/>
          <w:highlight w:val="none"/>
        </w:rPr>
        <w:t xml:space="preserve">第五章  项目采购需求</w:t>
      </w:r>
      <w:r/>
    </w:p>
    <w:p>
      <w:pPr>
        <w:pStyle w:val="851"/>
        <w:spacing w:line="520" w:lineRule="exac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一、采购清单</w:t>
      </w:r>
      <w:r>
        <w:rPr>
          <w:rFonts w:hint="eastAsia" w:ascii="仿宋" w:hAnsi="仿宋" w:eastAsia="仿宋" w:cs="仿宋"/>
          <w:b/>
          <w:bCs w:val="0"/>
          <w:color w:val="auto"/>
          <w:sz w:val="28"/>
          <w:szCs w:val="28"/>
          <w:highlight w:val="none"/>
          <w:lang w:val="en-US" w:eastAsia="zh-CN"/>
        </w:rPr>
        <w:t xml:space="preserve">及具体</w:t>
      </w:r>
      <w:r>
        <w:rPr>
          <w:rFonts w:hint="eastAsia" w:ascii="仿宋" w:hAnsi="仿宋" w:eastAsia="仿宋" w:cs="仿宋"/>
          <w:b/>
          <w:bCs w:val="0"/>
          <w:color w:val="auto"/>
          <w:sz w:val="28"/>
          <w:szCs w:val="28"/>
          <w:highlight w:val="none"/>
        </w:rPr>
        <w:t xml:space="preserve">要求</w:t>
      </w:r>
      <w:r/>
    </w:p>
    <w:tbl>
      <w:tblPr>
        <w:tblStyle w:val="66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4296"/>
        <w:gridCol w:w="2325"/>
        <w:gridCol w:w="2201"/>
      </w:tblGrid>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bookmarkStart w:id="38" w:name="_Toc20254"/>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r>
      <w:tr>
        <w:trPr>
          <w:jc w:val="center"/>
          <w:trHeight w:val="680"/>
        </w:trPr>
        <w:tc>
          <w:tcPr>
            <w:gridSpan w:val="2"/>
            <w:shd w:val="clear" w:color="auto" w:fill="auto"/>
            <w:tcW w:w="439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一、国宝厅</w:t>
            </w:r>
            <w:r/>
          </w:p>
        </w:tc>
        <w:tc>
          <w:tcPr>
            <w:shd w:val="clear" w:color="auto" w:fill="auto"/>
            <w:tcW w:w="200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89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5480×800×3300mm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5.48</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6680×800×3300mm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6.68</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多功能专业玻璃展柜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12680×1000×3300mm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12.68</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（5面玻璃）</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1000×1000×2200mm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净化恒湿机（小型）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透明屏</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品牌控制工作站</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三维内容制作</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3696"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展柜及配套拆除、安装</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101.44</w:t>
            </w:r>
            <w:r/>
          </w:p>
        </w:tc>
      </w:tr>
      <w:tr>
        <w:trPr>
          <w:jc w:val="center"/>
          <w:trHeight w:val="680"/>
        </w:trPr>
        <w:tc>
          <w:tcPr>
            <w:gridSpan w:val="2"/>
            <w:shd w:val="clear" w:color="auto" w:fill="auto"/>
            <w:tcW w:w="439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二、临展厅</w:t>
            </w:r>
            <w:r/>
          </w:p>
        </w:tc>
        <w:tc>
          <w:tcPr>
            <w:shd w:val="clear" w:color="auto" w:fill="auto"/>
            <w:tcW w:w="200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89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4040×800×3300mm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4.04</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8695×800×3300mm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8.70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8695×800×3300mm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8.70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7130×800×3300mm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7.13</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8220×800×3300mm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8.22</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7230×800×3300mm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7.23</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7230×800×3300mm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7.23</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3605×800×3300mm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3.61</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净化恒湿机（小型）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多功能专业玻璃展柜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7625×1000×2500mm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7.63</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多功能专业玻璃展柜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3715×1000×3300mm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3.72</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净化恒湿机（中型）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27665×800×3300mm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27.67</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7120×800×3300mm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7.12</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6940×800×3300mm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6.94</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6940×800×3300mm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6.94</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多功能专业玻璃展柜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4340×1000×3300mm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4.34</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净化恒湿机（中型）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多功能专业玻璃展柜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5250×1000×3300mm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5.25</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9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多功能专业玻璃展柜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7945×1000×3300mm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7.95</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（配独立展台、展架、展托）（5面玻璃）800×800×2200mm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（5面玻璃）1800×600×1100mm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（配独立展台、展架、展托）（5面玻璃）2500×840×2200mm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展柜及配套拆除、安装</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1843.31</w:t>
            </w:r>
            <w:r/>
          </w:p>
        </w:tc>
      </w:tr>
      <w:tr>
        <w:trPr>
          <w:jc w:val="center"/>
          <w:trHeight w:val="680"/>
        </w:trPr>
        <w:tc>
          <w:tcPr>
            <w:gridSpan w:val="2"/>
            <w:shd w:val="clear" w:color="auto" w:fill="auto"/>
            <w:tcW w:w="439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三层专业展柜</w:t>
            </w:r>
            <w:r/>
          </w:p>
        </w:tc>
        <w:tc>
          <w:tcPr>
            <w:shd w:val="clear" w:color="auto" w:fill="auto"/>
            <w:tcW w:w="200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894"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专业玻璃展柜（配独立置物架、展架、展托）5680×800×3300mm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5.68</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专业玻璃展柜（配独立展台、展架、展托）5400×800×3300mm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5.40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（5面玻璃）1800×600×1100mm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（1面玻璃）5680×3540×2200mm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gridSpan w:val="2"/>
            <w:shd w:val="clear" w:color="auto" w:fill="auto"/>
            <w:tcW w:w="439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四层专业展柜</w:t>
            </w:r>
            <w:r/>
          </w:p>
        </w:tc>
        <w:tc>
          <w:tcPr>
            <w:shd w:val="clear" w:color="auto" w:fill="auto"/>
            <w:tcW w:w="200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89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680"/>
        </w:trPr>
        <w:tc>
          <w:tcPr>
            <w:gridSpan w:val="2"/>
            <w:shd w:val="clear" w:color="auto" w:fill="auto"/>
            <w:tcW w:w="439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一、明清书画厅</w:t>
            </w:r>
            <w:r/>
          </w:p>
        </w:tc>
        <w:tc>
          <w:tcPr>
            <w:shd w:val="clear" w:color="auto" w:fill="auto"/>
            <w:tcW w:w="200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89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6220×800×3300mm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6.22</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5880×800×3300mm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5.88</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专业玻璃展柜（配独立展台）</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8520×800×3300mm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8.52</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净化恒湿机（中型）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专业玻璃展柜（配独立展台）</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6670×800×3300mm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6.67</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专业玻璃展柜（配独立展台）</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专业玻璃展柜（配独立展台）</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独立专业玻璃展柜（5面玻璃）1800×600×1100mm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净化恒湿机（小型）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展柜及配套拆除、安装</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504.09</w:t>
            </w:r>
            <w:r/>
          </w:p>
        </w:tc>
      </w:tr>
      <w:tr>
        <w:trPr>
          <w:jc w:val="center"/>
          <w:trHeight w:val="680"/>
        </w:trPr>
        <w:tc>
          <w:tcPr>
            <w:gridSpan w:val="2"/>
            <w:shd w:val="clear" w:color="auto" w:fill="auto"/>
            <w:tcW w:w="439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二、近现代书画厅</w:t>
            </w:r>
            <w:r/>
          </w:p>
        </w:tc>
        <w:tc>
          <w:tcPr>
            <w:shd w:val="clear" w:color="auto" w:fill="auto"/>
            <w:tcW w:w="200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89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16340×800×3300mm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16.34</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净化恒湿机（小型）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6440×800×3300mm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6.44</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9080×800×3300mm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9.08</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净化恒湿机（中型）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5880×800×3300mm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5.88</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净化恒湿机（大型）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5900×500×3300mm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5.90</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净化恒湿机（中型）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5900×500×3300mm</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5.90</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净化恒湿机（中型）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独立专业玻璃展柜（5面玻璃）1800×600×1100mm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净化恒湿机（小型）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r>
      <w:tr>
        <w:trPr>
          <w:jc w:val="center"/>
          <w:trHeight w:val="680"/>
        </w:trPr>
        <w:tc>
          <w:tcPr>
            <w:shd w:val="clear" w:color="auto" w:fill="auto"/>
            <w:tcW w:w="7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独立专业玻璃展柜（5面玻璃）4000×800×1100mm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净化恒湿机（小型）</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展柜及配套拆除、安装</w:t>
            </w:r>
            <w:r/>
          </w:p>
        </w:tc>
        <w:tc>
          <w:tcPr>
            <w:shd w:val="clear" w:color="auto" w:fill="auto"/>
            <w:tcW w:w="2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557.03</w:t>
            </w:r>
            <w:r/>
          </w:p>
        </w:tc>
      </w:tr>
      <w:tr>
        <w:trPr>
          <w:jc w:val="center"/>
          <w:trHeight w:val="680"/>
        </w:trPr>
        <w:tc>
          <w:tcPr>
            <w:gridSpan w:val="2"/>
            <w:shd w:val="clear" w:color="auto" w:fill="auto"/>
            <w:tcW w:w="439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三、瓷器厅</w:t>
            </w:r>
            <w:r/>
          </w:p>
        </w:tc>
        <w:tc>
          <w:tcPr>
            <w:shd w:val="clear" w:color="auto" w:fill="auto"/>
            <w:tcW w:w="200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89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专业玻璃展柜</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(壁龛柜不带恒湿机)</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5360×800×1500mm</w:t>
            </w:r>
            <w:r/>
          </w:p>
        </w:tc>
        <w:tc>
          <w:tcPr>
            <w:shd w:val="clear" w:color="auto" w:fill="auto"/>
            <w:tcW w:w="2000" w:type="dxa"/>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独立平柜专业玻璃展柜（5面玻璃、内展台、展架、展托）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2000×500×2000mm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独立平柜专业玻璃展柜（5面玻璃、内展台、展架、展托）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2500×500×2000mm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独立平柜专业玻璃展柜（5面玻璃、内展台、展架、展托）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2000×500×550mm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独立平柜专业玻璃展柜（5面玻璃、内展台、展架、展托）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3400×500×500mm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独立平柜专业玻璃展柜（5面玻璃、内展台、展架、展托）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1200×500×600mm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独立平柜专业玻璃展柜（5面玻璃、内展台、展架、展托）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1200×500×500mm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独立平柜专业玻璃展柜（5面玻璃、内展台、展架、展托）</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700×500×1000mm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展柜及配套拆除、安装</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793.04</w:t>
            </w:r>
            <w:r/>
          </w:p>
        </w:tc>
      </w:tr>
      <w:tr>
        <w:trPr>
          <w:jc w:val="center"/>
          <w:trHeight w:val="680"/>
        </w:trPr>
        <w:tc>
          <w:tcPr>
            <w:gridSpan w:val="2"/>
            <w:shd w:val="clear" w:color="auto" w:fill="auto"/>
            <w:tcW w:w="439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四、其他</w:t>
            </w:r>
            <w:r/>
          </w:p>
        </w:tc>
        <w:tc>
          <w:tcPr>
            <w:shd w:val="clear" w:color="auto" w:fill="auto"/>
            <w:tcW w:w="200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189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节能恒湿储藏柜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1200×800×1950mm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恒温恒湿储藏柜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1200×800×1950mm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低氧恒湿储藏柜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1400×800×1950mm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隔板式恒湿储藏柜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1200×800×1950mm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抽屉式恒湿储藏柜</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1200×800×1950mm</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文物囊匣</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SA"/>
              </w:rPr>
              <w:t xml:space="preserve">四线三回路轨道</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米</w:t>
            </w:r>
            <w:r/>
          </w:p>
        </w:tc>
        <w:tc>
          <w:tcPr>
            <w:shd w:val="clear" w:color="auto" w:fill="auto"/>
            <w:tcW w:w="189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676.00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专业导轨射灯T01</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206</w:t>
            </w:r>
            <w:r>
              <w:rPr>
                <w:rFonts w:hint="eastAsia" w:ascii="仿宋" w:hAnsi="仿宋" w:eastAsia="仿宋" w:cs="仿宋"/>
                <w:i w:val="0"/>
                <w:iCs w:val="0"/>
                <w:color w:val="auto"/>
                <w:sz w:val="24"/>
                <w:szCs w:val="24"/>
                <w:u w:val="none"/>
                <w:lang w:val="en-US" w:eastAsia="zh-CN" w:bidi="ar"/>
              </w:rPr>
              <w:t xml:space="preserve">.00</w:t>
            </w:r>
            <w:r/>
          </w:p>
        </w:tc>
      </w:tr>
      <w:tr>
        <w:trPr>
          <w:jc w:val="center"/>
          <w:trHeight w:val="680"/>
        </w:trPr>
        <w:tc>
          <w:tcPr>
            <w:shd w:val="clear" w:color="auto" w:fill="auto"/>
            <w:tcW w:w="702"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W w:w="3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专业导轨射灯T02</w:t>
            </w:r>
            <w:r/>
          </w:p>
        </w:tc>
        <w:tc>
          <w:tcPr>
            <w:shd w:val="clear" w:color="auto" w:fill="auto"/>
            <w:tcW w:w="2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1894"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SA"/>
              </w:rPr>
              <w:t xml:space="preserve">314</w:t>
            </w:r>
            <w:r>
              <w:rPr>
                <w:rFonts w:hint="eastAsia" w:ascii="仿宋" w:hAnsi="仿宋" w:eastAsia="仿宋" w:cs="仿宋"/>
                <w:i w:val="0"/>
                <w:iCs w:val="0"/>
                <w:color w:val="auto"/>
                <w:sz w:val="24"/>
                <w:szCs w:val="24"/>
                <w:u w:val="none"/>
                <w:lang w:val="en-US" w:eastAsia="zh-CN" w:bidi="ar"/>
              </w:rPr>
              <w:t xml:space="preserve">.00</w:t>
            </w:r>
            <w:r/>
          </w:p>
        </w:tc>
      </w:tr>
    </w:tbl>
    <w:p>
      <w:pPr>
        <w:pStyle w:val="924"/>
        <w:ind w:right="0"/>
        <w:jc w:val="left"/>
        <w:keepLines w:val="0"/>
        <w:keepNext w:val="0"/>
        <w:pageBreakBefore w:val="0"/>
        <w:spacing w:beforeAutospacing="0" w:afterAutospacing="0" w:line="520" w:lineRule="exact"/>
        <w:widowControl/>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二、采购项目技术参数要求</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（一）文物</w:t>
      </w:r>
      <w:r>
        <w:rPr>
          <w:rFonts w:hint="eastAsia" w:ascii="仿宋" w:hAnsi="仿宋" w:eastAsia="仿宋" w:cs="仿宋"/>
          <w:b w:val="0"/>
          <w:bCs/>
          <w:color w:val="auto"/>
          <w:sz w:val="28"/>
          <w:szCs w:val="28"/>
        </w:rPr>
        <w:t xml:space="preserve">展柜</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本采购项目中所涉及的文物展柜（简称“展柜”），投标人应按照采购人明确的展柜形制、数量、尺寸、要求等进行展柜的优化设计。中标人需针对展柜组合配套功能需求，提出各展柜的深化设计方案。展柜深化设计方案由采购人组织进行审核，中标人需按审核意见进行必要的调整。展柜深化设计方案经采购人</w:t>
      </w:r>
      <w:r>
        <w:rPr>
          <w:rFonts w:hint="eastAsia" w:ascii="仿宋" w:hAnsi="仿宋" w:eastAsia="仿宋" w:cs="仿宋"/>
          <w:b w:val="0"/>
          <w:bCs/>
          <w:color w:val="auto"/>
          <w:sz w:val="28"/>
          <w:szCs w:val="28"/>
          <w:highlight w:val="none"/>
          <w:lang w:val="en-US" w:eastAsia="zh-CN"/>
        </w:rPr>
        <w:t xml:space="preserve">签字</w:t>
      </w:r>
      <w:r>
        <w:rPr>
          <w:rFonts w:hint="eastAsia" w:ascii="仿宋" w:hAnsi="仿宋" w:eastAsia="仿宋" w:cs="仿宋"/>
          <w:b w:val="0"/>
          <w:bCs/>
          <w:color w:val="auto"/>
          <w:sz w:val="28"/>
          <w:szCs w:val="28"/>
          <w:lang w:val="en-US" w:eastAsia="zh-CN"/>
        </w:rPr>
        <w:t xml:space="preserve">确认后实施，中标人需按采购人要求递交定型实样展柜（样柜）。在采购人审核确定定型实样展柜、中标人收到采购人发出的</w:t>
      </w:r>
      <w:r>
        <w:rPr>
          <w:rFonts w:hint="eastAsia" w:ascii="仿宋" w:hAnsi="仿宋" w:eastAsia="仿宋" w:cs="仿宋"/>
          <w:b w:val="0"/>
          <w:bCs/>
          <w:color w:val="auto"/>
          <w:sz w:val="28"/>
          <w:szCs w:val="28"/>
          <w:highlight w:val="none"/>
          <w:lang w:val="en-US" w:eastAsia="zh-CN"/>
        </w:rPr>
        <w:t xml:space="preserve">签字</w:t>
      </w:r>
      <w:r>
        <w:rPr>
          <w:rFonts w:hint="eastAsia" w:ascii="仿宋" w:hAnsi="仿宋" w:eastAsia="仿宋" w:cs="仿宋"/>
          <w:b w:val="0"/>
          <w:bCs/>
          <w:color w:val="auto"/>
          <w:sz w:val="28"/>
          <w:szCs w:val="28"/>
          <w:lang w:val="en-US" w:eastAsia="zh-CN"/>
        </w:rPr>
        <w:t xml:space="preserve">确认后方可实施定制加工。</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1.展柜用低反射夹胶玻璃要求</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rPr>
        <w:t xml:space="preserve">（1）展柜使用高性能低反射夹胶玻璃，展柜玻璃高度低于2600mm使用玻璃厚度为6mm+6mm，展柜的玻璃高度高于2600mm的厚度需采用为8mm+</w:t>
      </w:r>
      <w:r>
        <w:rPr>
          <w:rFonts w:hint="eastAsia" w:ascii="仿宋" w:hAnsi="仿宋" w:eastAsia="仿宋" w:cs="仿宋"/>
          <w:b w:val="0"/>
          <w:bCs/>
          <w:color w:val="auto"/>
          <w:sz w:val="28"/>
          <w:szCs w:val="28"/>
          <w:lang w:val="en-US" w:eastAsia="zh-CN"/>
        </w:rPr>
        <w:t xml:space="preserve">0.89SGP+</w:t>
      </w:r>
      <w:r>
        <w:rPr>
          <w:rFonts w:hint="eastAsia" w:ascii="仿宋" w:hAnsi="仿宋" w:eastAsia="仿宋" w:cs="仿宋"/>
          <w:b w:val="0"/>
          <w:bCs/>
          <w:color w:val="auto"/>
          <w:sz w:val="28"/>
          <w:szCs w:val="28"/>
        </w:rPr>
        <w:t xml:space="preserve">8mm</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玻璃</w:t>
      </w:r>
      <w:r>
        <w:rPr>
          <w:rFonts w:hint="eastAsia" w:ascii="仿宋" w:hAnsi="仿宋" w:eastAsia="仿宋" w:cs="仿宋"/>
          <w:b w:val="0"/>
          <w:bCs/>
          <w:color w:val="auto"/>
          <w:sz w:val="28"/>
          <w:szCs w:val="28"/>
        </w:rPr>
        <w:t xml:space="preserve">透光度高、防爆、防紫外线，应符合馆藏、展陈专业的展示要求。所有夹胶玻璃在加工过程中保证无划痕、气泡、内含物、细小纹路和其它瑕疵等。低反射夹胶玻璃夹胶后光学性能符合GB/T 2680-2021的测定标准满足：可见光透射比≥97%</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可见光反射比≤1%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可以阻挡99%的紫外光。低反射夹胶玻璃雾度</w:t>
      </w:r>
      <w:r>
        <w:rPr>
          <w:rFonts w:hint="eastAsia" w:ascii="仿宋" w:hAnsi="仿宋" w:eastAsia="仿宋" w:cs="仿宋"/>
          <w:b w:val="0"/>
          <w:bCs/>
          <w:color w:val="auto"/>
          <w:sz w:val="28"/>
          <w:szCs w:val="28"/>
          <w:lang w:val="en-US" w:eastAsia="zh-CN"/>
        </w:rPr>
        <w:t xml:space="preserve">符合</w:t>
      </w:r>
      <w:r>
        <w:rPr>
          <w:rFonts w:hint="eastAsia" w:ascii="仿宋" w:hAnsi="仿宋" w:eastAsia="仿宋" w:cs="仿宋"/>
          <w:b w:val="0"/>
          <w:bCs/>
          <w:color w:val="auto"/>
          <w:sz w:val="28"/>
          <w:szCs w:val="28"/>
        </w:rPr>
        <w:t xml:space="preserve">GB/T 2410-2008的测定标准≤0.</w:t>
      </w:r>
      <w:r>
        <w:rPr>
          <w:rFonts w:hint="eastAsia" w:ascii="仿宋" w:hAnsi="仿宋" w:eastAsia="仿宋" w:cs="仿宋"/>
          <w:b w:val="0"/>
          <w:bCs/>
          <w:color w:val="auto"/>
          <w:sz w:val="28"/>
          <w:szCs w:val="28"/>
          <w:highlight w:val="none"/>
        </w:rPr>
        <w:t xml:space="preserve">3%</w:t>
      </w:r>
      <w:r>
        <w:rPr>
          <w:rFonts w:hint="eastAsia" w:ascii="仿宋" w:hAnsi="仿宋" w:eastAsia="仿宋" w:cs="仿宋"/>
          <w:b w:val="0"/>
          <w:bCs/>
          <w:color w:val="auto"/>
          <w:sz w:val="28"/>
          <w:szCs w:val="28"/>
          <w:highlight w:val="none"/>
          <w:lang w:val="en-US" w:eastAsia="zh-CN"/>
        </w:rPr>
        <w:t xml:space="preserve">；</w:t>
      </w: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highlight w:val="none"/>
        </w:rPr>
        <w:t xml:space="preserve">，未提供或内容不满足要求的视为未实质性满足招标文件要求</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作为无效标处理</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★（2）展柜用低反射夹胶玻璃的安全性，符合GB 15763.3-2009的规定，产品需通过落球冲击、霰弹袋冲击检测，玻璃受到冲击测试后，不能出现断裂、碎片，不能暴露中间层。（</w:t>
      </w:r>
      <w:r>
        <w:rPr>
          <w:rFonts w:hint="eastAsia" w:ascii="仿宋" w:hAnsi="仿宋" w:eastAsia="仿宋" w:cs="仿宋"/>
          <w:b w:val="0"/>
          <w:bCs/>
          <w:color w:val="auto"/>
          <w:sz w:val="28"/>
          <w:szCs w:val="28"/>
          <w:highlight w:val="none"/>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rPr>
        <w:t xml:space="preserve">未提供或内容不满足要求的视为未实质性满足招标文件要求</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作为无效标处理</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highlight w:val="none"/>
        </w:rPr>
        <w:t xml:space="preserve">）</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▲（3）展柜使用低反射夹胶玻璃的耐磨性，耐碱性、耐酸性</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需符合 GB/T 18915.1-2013的要求，试验后可见光透射比的绝对值</w:t>
      </w:r>
      <w:r>
        <w:rPr>
          <w:rFonts w:hint="eastAsia" w:ascii="仿宋" w:hAnsi="仿宋" w:eastAsia="仿宋" w:cs="仿宋"/>
          <w:b w:val="0"/>
          <w:bCs/>
          <w:color w:val="auto"/>
          <w:sz w:val="28"/>
          <w:szCs w:val="28"/>
          <w:highlight w:val="none"/>
          <w:lang w:val="en-US" w:eastAsia="zh-CN"/>
        </w:rPr>
        <w:t xml:space="preserve">不大于4</w:t>
      </w: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highlight w:val="none"/>
        </w:rPr>
        <w:t xml:space="preserve">，未提供或内容不满足要求的视为负偏离</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（4）低反射夹胶玻璃的耐久性，应符合GB 15763.3-2009的规定，耐辐照性测试后，可见光透射比变化率小于1%，耐热性和耐湿性测试后未产生气泡或其他缺陷。</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2.展柜用铝型材要求</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▲（1）展柜使用型材应采用高质量的铝合金材料，实效状态为T6性能。其基本性能符合GB</w:t>
      </w:r>
      <w:r>
        <w:rPr>
          <w:rFonts w:hint="eastAsia" w:ascii="仿宋" w:hAnsi="仿宋" w:eastAsia="仿宋" w:cs="仿宋"/>
          <w:b w:val="0"/>
          <w:bCs/>
          <w:color w:val="auto"/>
          <w:sz w:val="28"/>
          <w:szCs w:val="28"/>
          <w:highlight w:val="none"/>
          <w:lang w:val="en-US" w:eastAsia="zh-CN"/>
        </w:rPr>
        <w:t xml:space="preserve">/T</w:t>
      </w:r>
      <w:r>
        <w:rPr>
          <w:rFonts w:hint="eastAsia" w:ascii="仿宋" w:hAnsi="仿宋" w:eastAsia="仿宋" w:cs="仿宋"/>
          <w:b w:val="0"/>
          <w:bCs/>
          <w:color w:val="auto"/>
          <w:sz w:val="28"/>
          <w:szCs w:val="28"/>
          <w:highlight w:val="none"/>
        </w:rPr>
        <w:t xml:space="preserve">5237.1-2017的规定，韦氏硬度大于</w:t>
      </w:r>
      <w:r>
        <w:rPr>
          <w:rFonts w:hint="eastAsia" w:ascii="仿宋" w:hAnsi="仿宋" w:eastAsia="仿宋" w:cs="仿宋"/>
          <w:b w:val="0"/>
          <w:bCs/>
          <w:color w:val="auto"/>
          <w:sz w:val="28"/>
          <w:szCs w:val="28"/>
          <w:highlight w:val="none"/>
          <w:lang w:val="en-US" w:eastAsia="zh-CN"/>
        </w:rPr>
        <w:t xml:space="preserve">8HW</w:t>
      </w:r>
      <w:r>
        <w:rPr>
          <w:rFonts w:hint="eastAsia" w:ascii="仿宋" w:hAnsi="仿宋" w:eastAsia="仿宋" w:cs="仿宋"/>
          <w:b w:val="0"/>
          <w:bCs/>
          <w:color w:val="auto"/>
          <w:sz w:val="28"/>
          <w:szCs w:val="28"/>
          <w:highlight w:val="none"/>
        </w:rPr>
        <w:t xml:space="preserve">，壁厚不小于3.0mm，抗拉强度大于250N/mm2，延伸强度大于220N/mm2，断后伸长率大于</w:t>
      </w:r>
      <w:r>
        <w:rPr>
          <w:rFonts w:hint="eastAsia" w:ascii="仿宋" w:hAnsi="仿宋" w:eastAsia="仿宋" w:cs="仿宋"/>
          <w:b w:val="0"/>
          <w:bCs/>
          <w:color w:val="auto"/>
          <w:sz w:val="28"/>
          <w:szCs w:val="28"/>
          <w:highlight w:val="none"/>
          <w:lang w:val="en-US" w:eastAsia="zh-CN"/>
        </w:rPr>
        <w:t xml:space="preserve">8</w:t>
      </w:r>
      <w:r>
        <w:rPr>
          <w:rFonts w:hint="eastAsia" w:ascii="仿宋" w:hAnsi="仿宋" w:eastAsia="仿宋" w:cs="仿宋"/>
          <w:b w:val="0"/>
          <w:bCs/>
          <w:color w:val="auto"/>
          <w:sz w:val="28"/>
          <w:szCs w:val="28"/>
          <w:highlight w:val="none"/>
        </w:rPr>
        <w:t xml:space="preserve">%的技术要求。（</w:t>
      </w:r>
      <w:r>
        <w:rPr>
          <w:rFonts w:hint="eastAsia" w:ascii="仿宋" w:hAnsi="仿宋" w:eastAsia="仿宋" w:cs="仿宋"/>
          <w:b w:val="0"/>
          <w:bCs/>
          <w:color w:val="auto"/>
          <w:sz w:val="28"/>
          <w:szCs w:val="28"/>
          <w:highlight w:val="none"/>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highlight w:val="none"/>
        </w:rPr>
        <w:t xml:space="preserve">，未提供或内容不满足要求的视为负偏离</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展柜使用型材其化学成分需符合GB/T 3190-2020的规定。</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▲（3）</w:t>
      </w:r>
      <w:r>
        <w:rPr>
          <w:rFonts w:hint="eastAsia" w:ascii="仿宋" w:hAnsi="仿宋" w:eastAsia="仿宋" w:cs="仿宋"/>
          <w:b w:val="0"/>
          <w:bCs/>
          <w:color w:val="auto"/>
          <w:sz w:val="28"/>
          <w:szCs w:val="28"/>
          <w:highlight w:val="none"/>
          <w:lang w:val="en-US" w:eastAsia="zh-CN"/>
        </w:rPr>
        <w:t xml:space="preserve">铝型材</w:t>
      </w:r>
      <w:r>
        <w:rPr>
          <w:rFonts w:hint="eastAsia" w:ascii="仿宋" w:hAnsi="仿宋" w:eastAsia="仿宋" w:cs="仿宋"/>
          <w:b w:val="0"/>
          <w:bCs/>
          <w:color w:val="auto"/>
          <w:sz w:val="28"/>
          <w:szCs w:val="28"/>
          <w:highlight w:val="none"/>
        </w:rPr>
        <w:t xml:space="preserve">喷涂层符合GB/T 5237.4-2017 的规定，光泽度允许偏差不大于±</w:t>
      </w:r>
      <w:r>
        <w:rPr>
          <w:rFonts w:hint="eastAsia" w:ascii="仿宋" w:hAnsi="仿宋" w:eastAsia="仿宋" w:cs="仿宋"/>
          <w:b w:val="0"/>
          <w:bCs/>
          <w:color w:val="auto"/>
          <w:sz w:val="28"/>
          <w:szCs w:val="28"/>
          <w:highlight w:val="none"/>
          <w:lang w:val="en-US" w:eastAsia="zh-CN"/>
        </w:rPr>
        <w:t xml:space="preserve">5</w:t>
      </w:r>
      <w:r>
        <w:rPr>
          <w:rFonts w:hint="eastAsia" w:ascii="仿宋" w:hAnsi="仿宋" w:eastAsia="仿宋" w:cs="仿宋"/>
          <w:b w:val="0"/>
          <w:bCs/>
          <w:color w:val="auto"/>
          <w:sz w:val="28"/>
          <w:szCs w:val="28"/>
          <w:highlight w:val="none"/>
        </w:rPr>
        <w:t xml:space="preserve">，平均膜厚应≥</w:t>
      </w:r>
      <w:r>
        <w:rPr>
          <w:rFonts w:hint="eastAsia" w:ascii="仿宋" w:hAnsi="仿宋" w:eastAsia="仿宋" w:cs="仿宋"/>
          <w:b w:val="0"/>
          <w:bCs/>
          <w:color w:val="auto"/>
          <w:sz w:val="28"/>
          <w:szCs w:val="28"/>
          <w:highlight w:val="none"/>
          <w:lang w:val="en-US" w:eastAsia="zh-CN"/>
        </w:rPr>
        <w:t xml:space="preserve">6</w:t>
      </w:r>
      <w:r>
        <w:rPr>
          <w:rFonts w:hint="eastAsia" w:ascii="仿宋" w:hAnsi="仿宋" w:eastAsia="仿宋" w:cs="仿宋"/>
          <w:b w:val="0"/>
          <w:bCs/>
          <w:color w:val="auto"/>
          <w:sz w:val="28"/>
          <w:szCs w:val="28"/>
          <w:highlight w:val="none"/>
        </w:rPr>
        <w:t xml:space="preserve">0μm，耐磨性≥</w:t>
      </w:r>
      <w:r>
        <w:rPr>
          <w:rFonts w:hint="eastAsia" w:ascii="仿宋" w:hAnsi="仿宋" w:eastAsia="仿宋" w:cs="仿宋"/>
          <w:b w:val="0"/>
          <w:bCs/>
          <w:color w:val="auto"/>
          <w:sz w:val="28"/>
          <w:szCs w:val="28"/>
          <w:highlight w:val="none"/>
          <w:lang w:val="en-US" w:eastAsia="zh-CN"/>
        </w:rPr>
        <w:t xml:space="preserve">0.8L/</w:t>
      </w:r>
      <w:r>
        <w:rPr>
          <w:rFonts w:hint="eastAsia" w:ascii="仿宋" w:hAnsi="仿宋" w:eastAsia="仿宋" w:cs="仿宋"/>
          <w:b w:val="0"/>
          <w:bCs/>
          <w:color w:val="auto"/>
          <w:sz w:val="28"/>
          <w:szCs w:val="28"/>
          <w:highlight w:val="none"/>
        </w:rPr>
        <w:t xml:space="preserve">μm，耐沸水性测试后，膜层表面应无脱落、起皱等现象，附着性应达到0级；耐冲击性、抗杯突性、抗弯曲性测试后膜层表面应无开裂及脱落现象；耐盐酸性测试后膜层表面应无气泡或其他明显变化。（</w:t>
      </w:r>
      <w:r>
        <w:rPr>
          <w:rFonts w:hint="eastAsia" w:ascii="仿宋" w:hAnsi="仿宋" w:eastAsia="仿宋" w:cs="仿宋"/>
          <w:b w:val="0"/>
          <w:bCs/>
          <w:color w:val="auto"/>
          <w:sz w:val="28"/>
          <w:szCs w:val="28"/>
          <w:highlight w:val="none"/>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highlight w:val="none"/>
        </w:rPr>
        <w:t xml:space="preserve">，未提供或内容不满足要求的视为负偏离</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3.展柜骨架材料要求</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展柜骨架型材应采用高硬度的优质金属或复合型坚固材料，材料本身具有较强的稳定性和抗撞击性，承载力强，防砸、防撬不易变形的功能。经专业设备的切割、冲压、折弯、成型后，采用熔焊焊接等工艺制作。</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▲（1）展柜基座承载力符合GB/T 3325-20</w:t>
      </w:r>
      <w:r>
        <w:rPr>
          <w:rFonts w:hint="eastAsia" w:ascii="仿宋" w:hAnsi="仿宋" w:eastAsia="仿宋" w:cs="仿宋"/>
          <w:b w:val="0"/>
          <w:bCs/>
          <w:color w:val="auto"/>
          <w:sz w:val="28"/>
          <w:szCs w:val="28"/>
          <w:highlight w:val="none"/>
          <w:lang w:val="en-US" w:eastAsia="zh-CN"/>
        </w:rPr>
        <w:t xml:space="preserve">24</w:t>
      </w:r>
      <w:r>
        <w:rPr>
          <w:rFonts w:hint="eastAsia" w:ascii="仿宋" w:hAnsi="仿宋" w:eastAsia="仿宋" w:cs="仿宋"/>
          <w:b w:val="0"/>
          <w:bCs/>
          <w:color w:val="auto"/>
          <w:sz w:val="28"/>
          <w:szCs w:val="28"/>
          <w:highlight w:val="none"/>
        </w:rPr>
        <w:t xml:space="preserve">的标准要求，承载力达到每平米≥</w:t>
      </w:r>
      <w:r>
        <w:rPr>
          <w:rFonts w:hint="eastAsia" w:ascii="仿宋" w:hAnsi="仿宋" w:eastAsia="仿宋" w:cs="仿宋"/>
          <w:b w:val="0"/>
          <w:bCs/>
          <w:color w:val="auto"/>
          <w:sz w:val="28"/>
          <w:szCs w:val="28"/>
          <w:highlight w:val="none"/>
          <w:lang w:val="en-US" w:eastAsia="zh-CN"/>
        </w:rPr>
        <w:t xml:space="preserve">22</w:t>
      </w:r>
      <w:r>
        <w:rPr>
          <w:rFonts w:hint="eastAsia" w:ascii="仿宋" w:hAnsi="仿宋" w:eastAsia="仿宋" w:cs="仿宋"/>
          <w:b w:val="0"/>
          <w:bCs/>
          <w:color w:val="auto"/>
          <w:sz w:val="28"/>
          <w:szCs w:val="28"/>
          <w:highlight w:val="none"/>
        </w:rPr>
        <w:t xml:space="preserve">0kg/m2，展台底板承载力不低于150kg/m2。（</w:t>
      </w:r>
      <w:r>
        <w:rPr>
          <w:rFonts w:hint="eastAsia" w:ascii="仿宋" w:hAnsi="仿宋" w:eastAsia="仿宋" w:cs="仿宋"/>
          <w:b w:val="0"/>
          <w:bCs/>
          <w:color w:val="auto"/>
          <w:sz w:val="28"/>
          <w:szCs w:val="28"/>
          <w:highlight w:val="none"/>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highlight w:val="none"/>
        </w:rPr>
        <w:t xml:space="preserve">，未提供或内容不满足要求的视为负偏离</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▲（2）展柜骨架所选材料均做耐腐蚀及防腐蚀处理，符合GB/T 672</w:t>
      </w:r>
      <w:r>
        <w:rPr>
          <w:rFonts w:hint="eastAsia" w:ascii="仿宋" w:hAnsi="仿宋" w:eastAsia="仿宋" w:cs="仿宋"/>
          <w:b w:val="0"/>
          <w:bCs/>
          <w:color w:val="auto"/>
          <w:sz w:val="28"/>
          <w:szCs w:val="28"/>
          <w:highlight w:val="none"/>
          <w:lang w:val="en-US" w:eastAsia="zh-CN"/>
        </w:rPr>
        <w:t xml:space="preserve">8</w:t>
      </w:r>
      <w:r>
        <w:rPr>
          <w:rFonts w:hint="eastAsia" w:ascii="仿宋" w:hAnsi="仿宋" w:eastAsia="仿宋" w:cs="仿宋"/>
          <w:b w:val="0"/>
          <w:bCs/>
          <w:color w:val="auto"/>
          <w:sz w:val="28"/>
          <w:szCs w:val="28"/>
          <w:highlight w:val="none"/>
        </w:rPr>
        <w:t xml:space="preserve">-2017的规定，抗拉强度Rm处于</w:t>
      </w:r>
      <w:r>
        <w:rPr>
          <w:rFonts w:hint="eastAsia" w:ascii="仿宋" w:hAnsi="仿宋" w:eastAsia="仿宋" w:cs="仿宋"/>
          <w:b w:val="0"/>
          <w:bCs/>
          <w:color w:val="auto"/>
          <w:sz w:val="28"/>
          <w:szCs w:val="28"/>
          <w:highlight w:val="none"/>
          <w:lang w:val="en-US" w:eastAsia="zh-CN"/>
        </w:rPr>
        <w:t xml:space="preserve">370</w:t>
      </w: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highlight w:val="none"/>
          <w:lang w:val="en-US" w:eastAsia="zh-CN"/>
        </w:rPr>
        <w:t xml:space="preserve">560</w:t>
      </w:r>
      <w:r>
        <w:rPr>
          <w:rFonts w:hint="eastAsia" w:ascii="仿宋" w:hAnsi="仿宋" w:eastAsia="仿宋" w:cs="仿宋"/>
          <w:b w:val="0"/>
          <w:bCs/>
          <w:color w:val="auto"/>
          <w:sz w:val="28"/>
          <w:szCs w:val="28"/>
          <w:highlight w:val="none"/>
        </w:rPr>
        <w:t xml:space="preserve">MPa范围之内，断后伸长率＞</w:t>
      </w:r>
      <w:r>
        <w:rPr>
          <w:rFonts w:hint="eastAsia" w:ascii="仿宋" w:hAnsi="仿宋" w:eastAsia="仿宋" w:cs="仿宋"/>
          <w:b w:val="0"/>
          <w:bCs/>
          <w:color w:val="auto"/>
          <w:sz w:val="28"/>
          <w:szCs w:val="28"/>
          <w:highlight w:val="none"/>
          <w:lang w:val="en-US" w:eastAsia="zh-CN"/>
        </w:rPr>
        <w:t xml:space="preserve">24</w:t>
      </w: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highlight w:val="none"/>
        </w:rPr>
        <w:t xml:space="preserve">，未提供或内容不满足要求的视为负偏离</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4.展柜饰面材料要求</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1）展柜箱体的外饰面金属板材，应采用优质金属板。所采用的金属板材应平整、无划伤、开裂或明显变形，外体表面涂层色泽应与展厅风格相融合，色泽一致，不能出现明显色差，表面装饰涂层无脱落，无橘皮，无褶皱。（须针对以上要求提供承诺函。承诺函格式自拟，未提供或内容不满足要求的视为未实质性满足招标文件要求</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作为无效标处理</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highlight w:val="none"/>
        </w:rPr>
        <w:t xml:space="preserve">▲（2）展柜所选材料应做耐腐蚀或作防腐蚀处理，符合GB/T 13237-2013的规定，其抗拉强度Rm处于275～410MPa范围之内，断后伸长率＞28%。其化学成分需符合GB/T 13237-2013的规定。（</w:t>
      </w:r>
      <w:r>
        <w:rPr>
          <w:rFonts w:hint="eastAsia" w:ascii="仿宋" w:hAnsi="仿宋" w:eastAsia="仿宋" w:cs="仿宋"/>
          <w:b w:val="0"/>
          <w:bCs/>
          <w:color w:val="auto"/>
          <w:sz w:val="28"/>
          <w:szCs w:val="28"/>
          <w:highlight w:val="none"/>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未</w:t>
      </w:r>
      <w:r>
        <w:rPr>
          <w:rFonts w:hint="eastAsia" w:ascii="仿宋" w:hAnsi="仿宋" w:eastAsia="仿宋" w:cs="仿宋"/>
          <w:b w:val="0"/>
          <w:bCs/>
          <w:color w:val="auto"/>
          <w:sz w:val="28"/>
          <w:szCs w:val="28"/>
        </w:rPr>
        <w:t xml:space="preserve">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5.展柜密封粘接材料要求</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展柜结构胶应采用双组份硅酮结构胶。其外观为细腻、均匀膏状物，无气泡、结块、凝胶、结皮，无不易分散的分析物。双组份产品两组分别的颜色应有明显区别。其拉伸粘接性能符合GB 16776-2005 的标准，垂直放置时的下垂度≤0.5mm，水平放置时应无变形；表干时间≤3h；硬度为</w:t>
      </w:r>
      <w:r>
        <w:rPr>
          <w:rFonts w:hint="eastAsia" w:ascii="仿宋" w:hAnsi="仿宋" w:eastAsia="仿宋" w:cs="仿宋"/>
          <w:b w:val="0"/>
          <w:bCs/>
          <w:color w:val="auto"/>
          <w:sz w:val="28"/>
          <w:szCs w:val="28"/>
          <w:lang w:val="en-US" w:eastAsia="zh-CN"/>
        </w:rPr>
        <w:t xml:space="preserve">20</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CN"/>
        </w:rPr>
        <w:t xml:space="preserve">60</w:t>
      </w:r>
      <w:r>
        <w:rPr>
          <w:rFonts w:hint="eastAsia" w:ascii="仿宋" w:hAnsi="仿宋" w:eastAsia="仿宋" w:cs="仿宋"/>
          <w:b w:val="0"/>
          <w:bCs/>
          <w:color w:val="auto"/>
          <w:sz w:val="28"/>
          <w:szCs w:val="28"/>
        </w:rPr>
        <w:t xml:space="preserve"> ShoreA；拉伸粘接强度≥0.60MPa，粘接破坏面积≤</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6.展柜密封要求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▲（1）展柜应具有良好的密封性，须满足《GB/T 36110-2018文物展柜密封性能及检测》的规定要求，柜内与外界环境的空气交换率应达到</w:t>
      </w:r>
      <w:r>
        <w:rPr>
          <w:rFonts w:hint="eastAsia" w:ascii="仿宋" w:hAnsi="仿宋" w:eastAsia="仿宋" w:cs="仿宋"/>
          <w:b w:val="0"/>
          <w:bCs/>
          <w:color w:val="auto"/>
          <w:sz w:val="28"/>
          <w:szCs w:val="28"/>
          <w:lang w:val="en-US" w:eastAsia="zh-CN"/>
        </w:rPr>
        <w:t xml:space="preserve">≤0.5d-1</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Hans"/>
        </w:rPr>
        <w:t xml:space="preserve">（2）</w:t>
      </w:r>
      <w:r>
        <w:rPr>
          <w:rFonts w:hint="eastAsia" w:ascii="仿宋" w:hAnsi="仿宋" w:eastAsia="仿宋" w:cs="仿宋"/>
          <w:b w:val="0"/>
          <w:bCs/>
          <w:color w:val="auto"/>
          <w:sz w:val="28"/>
          <w:szCs w:val="28"/>
          <w:lang w:eastAsia="zh-CN"/>
        </w:rPr>
        <w:t xml:space="preserve">展柜密封</w:t>
      </w:r>
      <w:r>
        <w:rPr>
          <w:rFonts w:hint="eastAsia" w:ascii="仿宋" w:hAnsi="仿宋" w:eastAsia="仿宋" w:cs="仿宋"/>
          <w:b w:val="0"/>
          <w:bCs/>
          <w:color w:val="auto"/>
          <w:sz w:val="28"/>
          <w:szCs w:val="28"/>
          <w:lang w:val="en-US" w:eastAsia="zh-CN"/>
        </w:rPr>
        <w:t xml:space="preserve">条</w:t>
      </w:r>
      <w:r>
        <w:rPr>
          <w:rFonts w:hint="eastAsia" w:ascii="仿宋" w:hAnsi="仿宋" w:eastAsia="仿宋" w:cs="仿宋"/>
          <w:b w:val="0"/>
          <w:bCs/>
          <w:color w:val="auto"/>
          <w:sz w:val="28"/>
          <w:szCs w:val="28"/>
          <w:lang w:eastAsia="zh-CN"/>
        </w:rPr>
        <w:t xml:space="preserve">应采用“O”型有机硅胶条。 表面要求光滑，无明显杂质。拉伸强度≥7.0Mpa。拉断伸长率≥560%。撕裂强度≥15KN/m。热空气老化（100摄氏度×168h）情况下拉收强度变化率＜25%，拉断伸长率变化率＜40%，压缩永久变形＜35%。垂直燃烧FV-0级,在型材、玻璃上未留有胶条试样浅黄色的污染轮廓，未留有深色轮廓或实心印痕。型材、玻璃、胶条试样表面未出现发泡、发粘、凹凸不平。</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Hans"/>
        </w:rPr>
        <w:t xml:space="preserve">（3）</w:t>
      </w:r>
      <w:r>
        <w:rPr>
          <w:rFonts w:hint="eastAsia" w:ascii="仿宋" w:hAnsi="仿宋" w:eastAsia="仿宋" w:cs="仿宋"/>
          <w:b w:val="0"/>
          <w:bCs/>
          <w:color w:val="auto"/>
          <w:sz w:val="28"/>
          <w:szCs w:val="28"/>
        </w:rPr>
        <w:t xml:space="preserve">密封条阻燃性能应符合GB/T 10707-2008的要求，达到FV-0级。</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7.展柜内材料要求</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rPr>
        <w:t xml:space="preserve">（1）与展陈部分直接接触的展柜内部背板、展台等，木制板材必须达到E1级</w:t>
      </w:r>
      <w:r>
        <w:rPr>
          <w:rFonts w:hint="eastAsia" w:ascii="宋体" w:hAnsi="宋体" w:eastAsia="宋体" w:cs="宋体"/>
          <w:color w:val="auto"/>
          <w:sz w:val="28"/>
          <w:szCs w:val="28"/>
          <w:u w:val="none"/>
          <w:lang w:val="en-US" w:eastAsia="zh-CN"/>
        </w:rPr>
        <w:t xml:space="preserve">(GB 18580-2017)</w:t>
      </w:r>
      <w:r>
        <w:rPr>
          <w:rFonts w:hint="eastAsia" w:ascii="仿宋" w:hAnsi="仿宋" w:eastAsia="仿宋" w:cs="仿宋"/>
          <w:b w:val="0"/>
          <w:bCs/>
          <w:color w:val="auto"/>
          <w:sz w:val="28"/>
          <w:szCs w:val="28"/>
        </w:rPr>
        <w:t xml:space="preserve">，并在表面进行密封处理，以达到防火、防霉菌、防变形的作用。木制板材的防火性能符合</w:t>
      </w:r>
      <w:r>
        <w:rPr>
          <w:rFonts w:hint="eastAsia" w:ascii="仿宋" w:hAnsi="仿宋" w:eastAsia="仿宋" w:cs="仿宋"/>
          <w:b w:val="0"/>
          <w:bCs/>
          <w:color w:val="auto"/>
          <w:sz w:val="28"/>
          <w:szCs w:val="28"/>
          <w:lang w:val="en-US" w:eastAsia="zh-CN"/>
        </w:rPr>
        <w:t xml:space="preserve">GB 50222-2017</w:t>
      </w:r>
      <w:r>
        <w:rPr>
          <w:rFonts w:hint="eastAsia" w:ascii="仿宋" w:hAnsi="仿宋" w:eastAsia="仿宋" w:cs="仿宋"/>
          <w:b w:val="0"/>
          <w:bCs/>
          <w:color w:val="auto"/>
          <w:sz w:val="28"/>
          <w:szCs w:val="28"/>
        </w:rPr>
        <w:t xml:space="preserve">的标准要求，达到B1级标准要求。（投标时提供第三方检测机构出具的加盖CMA标注的检测报告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，未提供或内容不满足要求的视为未实质性满足招标文件要求</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作为无效标处理</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▲（2）木制板材基本性能符合GB/T 11718-2021的标准，满足在干燥状态下使用时，其板内密度偏差不大于±</w:t>
      </w:r>
      <w:r>
        <w:rPr>
          <w:rFonts w:hint="eastAsia" w:ascii="仿宋" w:hAnsi="仿宋" w:eastAsia="仿宋" w:cs="仿宋"/>
          <w:b w:val="0"/>
          <w:bCs/>
          <w:color w:val="auto"/>
          <w:sz w:val="28"/>
          <w:szCs w:val="28"/>
          <w:lang w:val="en-US" w:eastAsia="zh-CN"/>
        </w:rPr>
        <w:t xml:space="preserve">10</w:t>
      </w:r>
      <w:r>
        <w:rPr>
          <w:rFonts w:hint="eastAsia" w:ascii="仿宋" w:hAnsi="仿宋" w:eastAsia="仿宋" w:cs="仿宋"/>
          <w:b w:val="0"/>
          <w:bCs/>
          <w:color w:val="auto"/>
          <w:sz w:val="28"/>
          <w:szCs w:val="28"/>
        </w:rPr>
        <w:t xml:space="preserve">%；含水率≤7.0%；静曲强度、弹性模量、内</w:t>
      </w:r>
      <w:r>
        <w:rPr>
          <w:rFonts w:hint="eastAsia" w:ascii="仿宋" w:hAnsi="仿宋" w:eastAsia="仿宋" w:cs="仿宋"/>
          <w:b w:val="0"/>
          <w:bCs/>
          <w:color w:val="auto"/>
          <w:sz w:val="28"/>
          <w:szCs w:val="28"/>
          <w:lang w:val="en-US" w:eastAsia="zh-CN"/>
        </w:rPr>
        <w:t xml:space="preserve">胶</w:t>
      </w:r>
      <w:r>
        <w:rPr>
          <w:rFonts w:hint="eastAsia" w:ascii="仿宋" w:hAnsi="仿宋" w:eastAsia="仿宋" w:cs="仿宋"/>
          <w:b w:val="0"/>
          <w:bCs/>
          <w:color w:val="auto"/>
          <w:sz w:val="28"/>
          <w:szCs w:val="28"/>
        </w:rPr>
        <w:t xml:space="preserve">合强度</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吸水厚度膨胀率</w:t>
      </w:r>
      <w:r>
        <w:rPr>
          <w:rFonts w:hint="eastAsia" w:ascii="仿宋" w:hAnsi="仿宋" w:eastAsia="仿宋" w:cs="仿宋"/>
          <w:b w:val="0"/>
          <w:bCs/>
          <w:color w:val="auto"/>
          <w:sz w:val="28"/>
          <w:szCs w:val="28"/>
          <w:lang w:val="en-US" w:eastAsia="zh-CN"/>
        </w:rPr>
        <w:t xml:space="preserve">及表面胶合强度</w:t>
      </w:r>
      <w:r>
        <w:rPr>
          <w:rFonts w:hint="eastAsia" w:ascii="仿宋" w:hAnsi="仿宋" w:eastAsia="仿宋" w:cs="仿宋"/>
          <w:b w:val="0"/>
          <w:bCs/>
          <w:color w:val="auto"/>
          <w:sz w:val="28"/>
          <w:szCs w:val="28"/>
        </w:rPr>
        <w:t xml:space="preserve">均达到合格要求；中纤板实测甲醛含量应符合GB/T 39600-2021中的规定≤</w:t>
      </w:r>
      <w:r>
        <w:rPr>
          <w:rFonts w:hint="eastAsia" w:ascii="仿宋" w:hAnsi="仿宋" w:eastAsia="仿宋" w:cs="仿宋"/>
          <w:b w:val="0"/>
          <w:bCs/>
          <w:color w:val="auto"/>
          <w:sz w:val="28"/>
          <w:szCs w:val="28"/>
          <w:lang w:val="en-US" w:eastAsia="zh-CN"/>
        </w:rPr>
        <w:t xml:space="preserve">0.124</w:t>
      </w:r>
      <w:r>
        <w:rPr>
          <w:rFonts w:hint="eastAsia" w:ascii="仿宋" w:hAnsi="仿宋" w:eastAsia="仿宋" w:cs="仿宋"/>
          <w:b w:val="0"/>
          <w:bCs/>
          <w:color w:val="auto"/>
          <w:sz w:val="28"/>
          <w:szCs w:val="28"/>
        </w:rPr>
        <w:t xml:space="preserve">mg/m3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（3）展柜内使用的纺织物，必须是环保布料，</w:t>
      </w:r>
      <w:r>
        <w:rPr>
          <w:rFonts w:hint="eastAsia" w:ascii="仿宋" w:hAnsi="仿宋" w:eastAsia="仿宋" w:cs="仿宋"/>
          <w:b w:val="0"/>
          <w:bCs/>
          <w:color w:val="auto"/>
          <w:sz w:val="28"/>
          <w:szCs w:val="28"/>
          <w:lang w:val="en-US" w:eastAsia="zh-CN"/>
        </w:rPr>
        <w:t xml:space="preserve">棉布或麻布</w:t>
      </w:r>
      <w:r>
        <w:rPr>
          <w:rFonts w:hint="eastAsia" w:ascii="仿宋" w:hAnsi="仿宋" w:eastAsia="仿宋" w:cs="仿宋"/>
          <w:b w:val="0"/>
          <w:bCs/>
          <w:color w:val="auto"/>
          <w:sz w:val="28"/>
          <w:szCs w:val="28"/>
        </w:rPr>
        <w:t xml:space="preserve">；纺织物检测报告符合GB18401-2010中A级环保要求。</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8.展柜安全锁具技术要求</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▲（1）锁具安装位置应具有隐蔽性、防盗性高，不易被人发觉。锁体及钥匙的材料为超硬度的耐磨、防锈材料，且钥匙的编号可根据要求分组管理，</w:t>
      </w:r>
      <w:r>
        <w:rPr>
          <w:rFonts w:hint="eastAsia" w:ascii="仿宋" w:hAnsi="仿宋" w:eastAsia="仿宋" w:cs="仿宋"/>
          <w:b w:val="0"/>
          <w:bCs/>
          <w:color w:val="auto"/>
          <w:sz w:val="28"/>
          <w:szCs w:val="28"/>
          <w:highlight w:val="none"/>
          <w:lang w:val="en-US" w:eastAsia="zh-CN"/>
        </w:rPr>
        <w:t xml:space="preserve">采</w:t>
      </w:r>
      <w:r>
        <w:rPr>
          <w:rFonts w:hint="eastAsia" w:ascii="仿宋" w:hAnsi="仿宋" w:eastAsia="仿宋" w:cs="仿宋"/>
          <w:b w:val="0"/>
          <w:bCs/>
          <w:color w:val="auto"/>
          <w:sz w:val="28"/>
          <w:szCs w:val="28"/>
          <w:highlight w:val="none"/>
        </w:rPr>
        <w:t xml:space="preserve">用锁具</w:t>
      </w:r>
      <w:r>
        <w:rPr>
          <w:rFonts w:hint="eastAsia" w:ascii="仿宋" w:hAnsi="仿宋" w:eastAsia="仿宋" w:cs="仿宋"/>
          <w:b w:val="0"/>
          <w:bCs/>
          <w:color w:val="auto"/>
          <w:sz w:val="28"/>
          <w:szCs w:val="28"/>
          <w:highlight w:val="none"/>
          <w:lang w:val="en-US" w:eastAsia="zh-CN"/>
        </w:rPr>
        <w:t xml:space="preserve">或</w:t>
      </w:r>
      <w:r>
        <w:rPr>
          <w:rFonts w:hint="eastAsia" w:ascii="仿宋" w:hAnsi="仿宋" w:eastAsia="仿宋" w:cs="仿宋"/>
          <w:b w:val="0"/>
          <w:bCs/>
          <w:color w:val="auto"/>
          <w:sz w:val="28"/>
          <w:szCs w:val="28"/>
          <w:highlight w:val="none"/>
        </w:rPr>
        <w:t xml:space="preserve">锁头锁体应符合 GA/T 73-2015 中C级检测标准的要</w:t>
      </w:r>
      <w:r>
        <w:rPr>
          <w:rFonts w:hint="eastAsia" w:ascii="仿宋" w:hAnsi="仿宋" w:eastAsia="仿宋" w:cs="仿宋"/>
          <w:b w:val="0"/>
          <w:bCs/>
          <w:color w:val="auto"/>
          <w:sz w:val="28"/>
          <w:szCs w:val="28"/>
          <w:highlight w:val="none"/>
          <w:lang w:val="en-US" w:eastAsia="zh-CN"/>
        </w:rPr>
        <w:t xml:space="preserve">求。</w:t>
      </w: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highlight w:val="none"/>
        </w:rPr>
        <w:t xml:space="preserve">，未提供或内容不满足要求的视为负偏离</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highlight w:val="none"/>
          <w:lang w:val="en-US" w:eastAsia="zh-CN"/>
        </w:rPr>
        <w:t xml:space="preserve">（2）锁头</w:t>
      </w:r>
      <w:r>
        <w:rPr>
          <w:rFonts w:hint="eastAsia" w:ascii="仿宋" w:hAnsi="仿宋" w:eastAsia="仿宋" w:cs="仿宋"/>
          <w:b w:val="0"/>
          <w:bCs/>
          <w:color w:val="auto"/>
          <w:sz w:val="28"/>
          <w:szCs w:val="28"/>
          <w:highlight w:val="none"/>
        </w:rPr>
        <w:t xml:space="preserve">锁体及钥匙的材料为超硬度的耐磨、防锈材料，开启次数不少于15万次，设计钥匙不互开，按照一柜一锁及编号类型分开管理，提升馆藏文物综合保护能力。（须针对以上要求提供承诺函。承诺函格式自拟，未提供或内容不满足要求的，视为未实质性满足招标文件要求</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作为无效标处理</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9.展柜开启方式要求</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highlight w:val="none"/>
        </w:rPr>
        <w:t xml:space="preserve">（1）展柜展示空间的开启应采用简便、安全的操作方式，满足一人独立操作开启。展柜门的开启应满足文物安全取放需求。展柜照明、环境</w:t>
      </w:r>
      <w:r>
        <w:rPr>
          <w:rFonts w:hint="eastAsia" w:ascii="仿宋" w:hAnsi="仿宋" w:eastAsia="仿宋" w:cs="仿宋"/>
          <w:b w:val="0"/>
          <w:bCs/>
          <w:color w:val="auto"/>
          <w:sz w:val="28"/>
          <w:szCs w:val="28"/>
        </w:rPr>
        <w:t xml:space="preserve">监控等设备的日常维护应不需开启展示空间，也无需拆卸展柜的某些部分，展柜检修门另配专业锁具。</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Hans"/>
        </w:rPr>
        <w:t xml:space="preserve">（2）</w:t>
      </w:r>
      <w:r>
        <w:rPr>
          <w:rFonts w:hint="eastAsia" w:ascii="仿宋" w:hAnsi="仿宋" w:eastAsia="仿宋" w:cs="仿宋"/>
          <w:b w:val="0"/>
          <w:bCs/>
          <w:color w:val="auto"/>
          <w:sz w:val="28"/>
          <w:szCs w:val="28"/>
        </w:rPr>
        <w:t xml:space="preserve">根据展柜的类型、尺寸、位置，展品的尺寸，操作人员的习惯以及其他因素确定展柜的开启方式。无论是何种开启方式，必须遵循的是安全、一人能独立操作的宗旨。</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Hans"/>
        </w:rPr>
        <w:t xml:space="preserve">（3）独立柜一般宜采用</w:t>
      </w:r>
      <w:r>
        <w:rPr>
          <w:rFonts w:hint="eastAsia" w:ascii="仿宋" w:hAnsi="仿宋" w:eastAsia="仿宋" w:cs="仿宋"/>
          <w:b w:val="0"/>
          <w:bCs/>
          <w:color w:val="auto"/>
          <w:sz w:val="28"/>
          <w:szCs w:val="28"/>
          <w:lang w:val="en-US" w:eastAsia="zh-CN"/>
        </w:rPr>
        <w:t xml:space="preserve">机械锁具，手动90°</w:t>
      </w:r>
      <w:r>
        <w:rPr>
          <w:rFonts w:hint="eastAsia" w:ascii="仿宋" w:hAnsi="仿宋" w:eastAsia="仿宋" w:cs="仿宋"/>
          <w:b w:val="0"/>
          <w:bCs/>
          <w:color w:val="auto"/>
          <w:sz w:val="28"/>
          <w:szCs w:val="28"/>
          <w:lang w:val="en-US" w:eastAsia="zh-Hans"/>
        </w:rPr>
        <w:t xml:space="preserve">旋转开启门方式。通柜采用电动推出</w:t>
      </w:r>
      <w:r>
        <w:rPr>
          <w:rFonts w:hint="eastAsia" w:ascii="仿宋" w:hAnsi="仿宋" w:eastAsia="仿宋" w:cs="仿宋"/>
          <w:b w:val="0"/>
          <w:bCs/>
          <w:color w:val="auto"/>
          <w:sz w:val="28"/>
          <w:szCs w:val="28"/>
          <w:lang w:val="en-US" w:eastAsia="zh-CN"/>
        </w:rPr>
        <w:t xml:space="preserve">、</w:t>
      </w:r>
      <w:r>
        <w:rPr>
          <w:rFonts w:hint="eastAsia" w:ascii="仿宋" w:hAnsi="仿宋" w:eastAsia="仿宋" w:cs="仿宋"/>
          <w:b w:val="0"/>
          <w:bCs/>
          <w:color w:val="auto"/>
          <w:sz w:val="28"/>
          <w:szCs w:val="28"/>
          <w:lang w:val="en-US" w:eastAsia="zh-Hans"/>
        </w:rPr>
        <w:t xml:space="preserve">电动锁紧</w:t>
      </w:r>
      <w:r>
        <w:rPr>
          <w:rFonts w:hint="eastAsia" w:ascii="仿宋" w:hAnsi="仿宋" w:eastAsia="仿宋" w:cs="仿宋"/>
          <w:b w:val="0"/>
          <w:bCs/>
          <w:color w:val="auto"/>
          <w:sz w:val="28"/>
          <w:szCs w:val="28"/>
          <w:lang w:val="en-US" w:eastAsia="zh-CN"/>
        </w:rPr>
        <w:t xml:space="preserve">，手动</w:t>
      </w:r>
      <w:r>
        <w:rPr>
          <w:rFonts w:hint="eastAsia" w:ascii="仿宋" w:hAnsi="仿宋" w:eastAsia="仿宋" w:cs="仿宋"/>
          <w:b w:val="0"/>
          <w:bCs/>
          <w:color w:val="auto"/>
          <w:sz w:val="28"/>
          <w:szCs w:val="28"/>
          <w:lang w:val="en-US" w:eastAsia="zh-Hans"/>
        </w:rPr>
        <w:t xml:space="preserve">左右平移开启门方式，</w:t>
      </w:r>
      <w:r>
        <w:rPr>
          <w:rFonts w:hint="eastAsia" w:ascii="仿宋" w:hAnsi="仿宋" w:eastAsia="仿宋" w:cs="仿宋"/>
          <w:color w:val="auto"/>
          <w:sz w:val="28"/>
          <w:szCs w:val="28"/>
          <w:lang w:val="en-US" w:eastAsia="zh-CN"/>
        </w:rPr>
        <w:t xml:space="preserve">柜门≥60%开启，</w:t>
      </w:r>
      <w:r>
        <w:rPr>
          <w:rFonts w:hint="eastAsia" w:ascii="仿宋" w:hAnsi="仿宋" w:eastAsia="仿宋" w:cs="仿宋"/>
          <w:b w:val="0"/>
          <w:bCs/>
          <w:color w:val="auto"/>
          <w:sz w:val="28"/>
          <w:szCs w:val="28"/>
          <w:lang w:val="en-US" w:eastAsia="zh-Hans"/>
        </w:rPr>
        <w:t xml:space="preserve">应配备辅助开启及支撑装置。桌柜开启一般采用电动向上单边翻转开启或电动升降开启方式。</w:t>
      </w:r>
      <w:r>
        <w:rPr>
          <w:rFonts w:hint="eastAsia" w:ascii="仿宋" w:hAnsi="仿宋" w:eastAsia="仿宋" w:cs="仿宋"/>
          <w:b w:val="0"/>
          <w:bCs/>
          <w:color w:val="auto"/>
          <w:sz w:val="28"/>
          <w:szCs w:val="28"/>
          <w:lang w:val="en-US" w:eastAsia="zh-CN"/>
        </w:rPr>
        <w:t xml:space="preserve">展柜电动开启</w:t>
      </w:r>
      <w:r>
        <w:rPr>
          <w:rFonts w:hint="eastAsia" w:ascii="仿宋" w:hAnsi="仿宋" w:eastAsia="仿宋" w:cs="仿宋"/>
          <w:color w:val="auto"/>
          <w:sz w:val="28"/>
          <w:szCs w:val="28"/>
          <w:lang w:val="en-US" w:eastAsia="zh-CN"/>
        </w:rPr>
        <w:t xml:space="preserve">采用</w:t>
      </w:r>
      <w:r>
        <w:rPr>
          <w:rFonts w:hint="eastAsia" w:ascii="仿宋" w:hAnsi="仿宋" w:eastAsia="仿宋" w:cs="仿宋"/>
          <w:b w:val="0"/>
          <w:bCs/>
          <w:color w:val="auto"/>
          <w:sz w:val="28"/>
          <w:szCs w:val="28"/>
        </w:rPr>
        <w:t xml:space="preserve">无线智能化控制方式，安全可靠。电动开启方式应具有电动滑动部分在轨道上运行平滑、噪音小、无阻滞现象，无明显噪音及运行不顺畅的现象。</w:t>
      </w:r>
      <w:r>
        <w:rPr>
          <w:rFonts w:hint="eastAsia" w:ascii="仿宋" w:hAnsi="仿宋" w:eastAsia="仿宋" w:cs="仿宋"/>
          <w:b w:val="0"/>
          <w:bCs/>
          <w:color w:val="auto"/>
          <w:sz w:val="28"/>
          <w:szCs w:val="28"/>
          <w:highlight w:val="none"/>
        </w:rPr>
        <w:t xml:space="preserve">（须针对以上要求提供承诺函</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承诺函格式自拟，</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highlight w:val="none"/>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Hans"/>
        </w:rPr>
        <w:t xml:space="preserve">（4）</w:t>
      </w:r>
      <w:r>
        <w:rPr>
          <w:rFonts w:hint="eastAsia" w:ascii="仿宋" w:hAnsi="仿宋" w:eastAsia="仿宋" w:cs="仿宋"/>
          <w:b w:val="0"/>
          <w:bCs/>
          <w:color w:val="auto"/>
          <w:sz w:val="28"/>
          <w:szCs w:val="28"/>
        </w:rPr>
        <w:t xml:space="preserve">智能开启系统可远距离控制，每台展柜与远距离控制器的连接都使用不同的波段，远距离控制器发出的每个信号只能由一台展柜识别。</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Hans"/>
        </w:rPr>
        <w:t xml:space="preserve">（5）</w:t>
      </w:r>
      <w:r>
        <w:rPr>
          <w:rFonts w:hint="eastAsia" w:ascii="仿宋" w:hAnsi="仿宋" w:eastAsia="仿宋" w:cs="仿宋"/>
          <w:b w:val="0"/>
          <w:bCs/>
          <w:color w:val="auto"/>
          <w:sz w:val="28"/>
          <w:szCs w:val="28"/>
        </w:rPr>
        <w:t xml:space="preserve">展柜开启控制应同时具备电动和手动双控制设计，在遇到突发情况或电力缺失的情况下，可以通过手动方式正常开启、关闭展柜。</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10.展柜内污染物空气要求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▲在馆藏文物展示环境中使用的各种材料，所散发的挥发物对文物的潜在危害需严格控制，展示环境中的污染气体符合 GB/T 36111-2018标准甲醛小于 100ug/m3:甲酸:小于 100ug/m3;乙酸:小于250ug/m3;TV0C 小于600ug/m3。（</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11.展柜整柜安全性能要求</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rPr>
        <w:t xml:space="preserve">▲（1）展柜结构应符合GB/T 3325-20</w:t>
      </w:r>
      <w:r>
        <w:rPr>
          <w:rFonts w:hint="eastAsia" w:ascii="仿宋" w:hAnsi="仿宋" w:eastAsia="仿宋" w:cs="仿宋"/>
          <w:b w:val="0"/>
          <w:bCs/>
          <w:color w:val="auto"/>
          <w:sz w:val="28"/>
          <w:szCs w:val="28"/>
          <w:lang w:val="en-US" w:eastAsia="zh-CN"/>
        </w:rPr>
        <w:t xml:space="preserve">24</w:t>
      </w:r>
      <w:r>
        <w:rPr>
          <w:rFonts w:hint="eastAsia" w:ascii="仿宋" w:hAnsi="仿宋" w:eastAsia="仿宋" w:cs="仿宋"/>
          <w:b w:val="0"/>
          <w:bCs/>
          <w:color w:val="auto"/>
          <w:sz w:val="28"/>
          <w:szCs w:val="28"/>
        </w:rPr>
        <w:t xml:space="preserve">的规定，</w:t>
      </w:r>
      <w:r>
        <w:rPr>
          <w:rFonts w:hint="eastAsia" w:ascii="仿宋" w:hAnsi="仿宋" w:eastAsia="仿宋" w:cs="仿宋"/>
          <w:b w:val="0"/>
          <w:bCs/>
          <w:color w:val="auto"/>
          <w:sz w:val="28"/>
          <w:szCs w:val="28"/>
          <w:lang w:val="en-US" w:eastAsia="zh-CN"/>
        </w:rPr>
        <w:t xml:space="preserve">经过隔板弯曲度试验，搁板的最大变形量不超过搁板跨度的0.55%。顶板和底板持续加载试验时,顶板和底板的最大变形量不超过搁板跨度的0.55%。结构强度试验后零部件无断裂或豁裂，牢固的部件无永久性松动，无严重影响使用功能的磨损或变形。柜类稳定性经过空载、加载试验后应无倾翻。</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CN"/>
        </w:rPr>
        <w:t xml:space="preserve">展</w:t>
      </w:r>
      <w:r>
        <w:rPr>
          <w:rFonts w:hint="eastAsia" w:ascii="仿宋" w:hAnsi="仿宋" w:eastAsia="仿宋" w:cs="仿宋"/>
          <w:b w:val="0"/>
          <w:bCs/>
          <w:color w:val="auto"/>
          <w:sz w:val="28"/>
          <w:szCs w:val="28"/>
          <w:lang w:eastAsia="zh-CN"/>
        </w:rPr>
        <w:t xml:space="preserve">柜需进行防震性能设计，满足 WW/T 0069-2015《馆藏文物防震规范》。展柜的防震性能应满足多遇地震（140cm/s2），设防地震（400cm/s2），罕遇地震（620cm/s2）试验后，展柜柜门应未打开，活动检查门应未滑出，展柜应未出现跳起或倾覆，展柜各部件应未出现脱离、脱落的情况，内置光源应可以正常工作。（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Hans"/>
        </w:rPr>
      </w:pPr>
      <w:r>
        <w:rPr>
          <w:rFonts w:hint="eastAsia" w:ascii="仿宋" w:hAnsi="仿宋" w:eastAsia="仿宋" w:cs="仿宋"/>
          <w:b w:val="0"/>
          <w:bCs/>
          <w:color w:val="auto"/>
          <w:sz w:val="28"/>
          <w:szCs w:val="28"/>
          <w:lang w:val="en-US" w:eastAsia="zh-Hans"/>
        </w:rPr>
        <w:t xml:space="preserve">（3）开启噪音≤</w:t>
      </w:r>
      <w:r>
        <w:rPr>
          <w:rFonts w:hint="eastAsia" w:ascii="仿宋" w:hAnsi="仿宋" w:eastAsia="仿宋" w:cs="仿宋"/>
          <w:b w:val="0"/>
          <w:bCs/>
          <w:color w:val="auto"/>
          <w:sz w:val="28"/>
          <w:szCs w:val="28"/>
          <w:lang w:val="en-US" w:eastAsia="zh-CN"/>
        </w:rPr>
        <w:t xml:space="preserve">45</w:t>
      </w:r>
      <w:r>
        <w:rPr>
          <w:rFonts w:hint="eastAsia" w:ascii="仿宋" w:hAnsi="仿宋" w:eastAsia="仿宋" w:cs="仿宋"/>
          <w:b w:val="0"/>
          <w:bCs/>
          <w:color w:val="auto"/>
          <w:sz w:val="28"/>
          <w:szCs w:val="28"/>
          <w:lang w:val="en-US" w:eastAsia="zh-Hans"/>
        </w:rPr>
        <w:t xml:space="preserve">分贝。开启运行平稳顺畅，电动开启配有限位器，确保玻璃门运行的安全性。</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rPr>
        <w:t xml:space="preserve">1</w:t>
      </w: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CN"/>
        </w:rPr>
        <w:t xml:space="preserve">多功能墙柜性能要求</w:t>
      </w:r>
      <w:r/>
    </w:p>
    <w:p>
      <w:pPr>
        <w:pStyle w:val="924"/>
        <w:numPr>
          <w:ilvl w:val="0"/>
          <w:numId w:val="0"/>
        </w:numPr>
        <w:ind w:left="0" w:right="0" w:firstLine="49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Hans"/>
        </w:rPr>
        <w:t xml:space="preserve">（</w:t>
      </w: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lang w:val="en-US" w:eastAsia="zh-Hans"/>
        </w:rPr>
        <w:t xml:space="preserve">）</w:t>
      </w:r>
      <w:r>
        <w:rPr>
          <w:rFonts w:hint="eastAsia" w:ascii="仿宋" w:hAnsi="仿宋" w:eastAsia="仿宋" w:cs="仿宋"/>
          <w:b w:val="0"/>
          <w:bCs/>
          <w:color w:val="auto"/>
          <w:sz w:val="28"/>
          <w:szCs w:val="28"/>
          <w:lang w:val="en-US" w:eastAsia="zh-CN"/>
        </w:rPr>
        <w:t xml:space="preserve">柜内背板可前后移动。根据文物体量大小，可调节改变柜内进深空间。通过定制特殊电动伸缩机构，采用手持式平板无线操控方式，可使柜内背板活动距离最长可在0mm～400mm 任意位置内移动并固定。所有背板移动机构部件均需隐藏不外露。背板前后移动过程中平稳顺畅，无抖动及较大震动和异常响声。</w:t>
      </w:r>
      <w:r>
        <w:rPr>
          <w:rFonts w:hint="eastAsia" w:ascii="仿宋" w:hAnsi="仿宋" w:eastAsia="仿宋" w:cs="仿宋"/>
          <w:b w:val="0"/>
          <w:bCs/>
          <w:color w:val="auto"/>
          <w:sz w:val="28"/>
          <w:szCs w:val="28"/>
          <w:highlight w:val="none"/>
        </w:rPr>
        <w:t xml:space="preserve">（须针对以上要求提供承诺函</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承诺函格式自拟，</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highlight w:val="none"/>
        </w:rPr>
        <w:t xml:space="preserve">）</w:t>
      </w:r>
      <w:r/>
    </w:p>
    <w:p>
      <w:pPr>
        <w:pStyle w:val="924"/>
        <w:numPr>
          <w:ilvl w:val="0"/>
          <w:numId w:val="0"/>
        </w:numPr>
        <w:ind w:left="0" w:right="0" w:firstLine="49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CN"/>
        </w:rPr>
        <w:t xml:space="preserve">（2）展柜照明系统、一级展台、卷帘采用电动可升降设计，采用手持式平板无线操控方式，通过机电一体化控制实现高度的无极调节。展柜照明系统实现升降行程0-1000mm 连续可调，一级展台实现升降行程0-1000mm 连续可调，确保升降过程平稳无抖动。</w:t>
      </w:r>
      <w:r>
        <w:rPr>
          <w:rFonts w:hint="eastAsia" w:ascii="仿宋" w:hAnsi="仿宋" w:eastAsia="仿宋" w:cs="仿宋"/>
          <w:b w:val="0"/>
          <w:bCs/>
          <w:color w:val="auto"/>
          <w:sz w:val="28"/>
          <w:szCs w:val="28"/>
          <w:highlight w:val="none"/>
        </w:rPr>
        <w:t xml:space="preserve">（须针对以上要求提供承诺函</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承诺函格式自拟，</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highlight w:val="none"/>
        </w:rPr>
        <w:t xml:space="preserve">）</w:t>
      </w:r>
      <w:r/>
    </w:p>
    <w:p>
      <w:pPr>
        <w:pStyle w:val="924"/>
        <w:numPr>
          <w:ilvl w:val="0"/>
          <w:numId w:val="0"/>
        </w:numPr>
        <w:ind w:left="0" w:right="0" w:firstLine="49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（3）展柜背板前后移动与展柜照明系统、一级展台上下移动可依次进行，互不影响。</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二</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展柜内照明</w:t>
      </w:r>
      <w:r>
        <w:rPr>
          <w:rFonts w:hint="eastAsia" w:ascii="仿宋" w:hAnsi="仿宋" w:eastAsia="仿宋" w:cs="仿宋"/>
          <w:b w:val="0"/>
          <w:bCs/>
          <w:color w:val="auto"/>
          <w:sz w:val="28"/>
          <w:szCs w:val="28"/>
        </w:rPr>
        <w:t xml:space="preserve">要求</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本采购项目中的</w:t>
      </w:r>
      <w:r>
        <w:rPr>
          <w:rFonts w:hint="eastAsia" w:ascii="仿宋" w:hAnsi="仿宋" w:eastAsia="仿宋" w:cs="仿宋"/>
          <w:b w:val="0"/>
          <w:bCs/>
          <w:color w:val="auto"/>
          <w:sz w:val="28"/>
          <w:szCs w:val="28"/>
          <w:lang w:val="en-US" w:eastAsia="zh-CN"/>
        </w:rPr>
        <w:t xml:space="preserve">照明</w:t>
      </w:r>
      <w:r>
        <w:rPr>
          <w:rFonts w:hint="eastAsia" w:ascii="仿宋" w:hAnsi="仿宋" w:eastAsia="仿宋" w:cs="仿宋"/>
          <w:b w:val="0"/>
          <w:bCs/>
          <w:color w:val="auto"/>
          <w:sz w:val="28"/>
          <w:szCs w:val="28"/>
        </w:rPr>
        <w:t xml:space="preserve">内容，包括且不限于展柜照明深化设计、照明控制系统设计、照明装置采购配置与安装、以及所有灯具及照明控制系统的设备定位、配管和穿线等内容。中标人需结合</w:t>
      </w:r>
      <w:r>
        <w:rPr>
          <w:rFonts w:hint="eastAsia" w:ascii="仿宋" w:hAnsi="仿宋" w:eastAsia="仿宋" w:cs="仿宋"/>
          <w:b w:val="0"/>
          <w:bCs/>
          <w:color w:val="auto"/>
          <w:sz w:val="28"/>
          <w:szCs w:val="28"/>
          <w:lang w:val="en-US" w:eastAsia="zh-CN"/>
        </w:rPr>
        <w:t xml:space="preserve">展览展品要求</w:t>
      </w:r>
      <w:r>
        <w:rPr>
          <w:rFonts w:hint="eastAsia" w:ascii="仿宋" w:hAnsi="仿宋" w:eastAsia="仿宋" w:cs="仿宋"/>
          <w:b w:val="0"/>
          <w:bCs/>
          <w:color w:val="auto"/>
          <w:sz w:val="28"/>
          <w:szCs w:val="28"/>
        </w:rPr>
        <w:t xml:space="preserve">深化设计，提出各展柜照明深化设计方案。展柜照明深化设计方案由</w:t>
      </w:r>
      <w:r>
        <w:rPr>
          <w:rFonts w:hint="eastAsia" w:ascii="仿宋" w:hAnsi="仿宋" w:eastAsia="仿宋" w:cs="仿宋"/>
          <w:b w:val="0"/>
          <w:bCs/>
          <w:color w:val="auto"/>
          <w:sz w:val="28"/>
          <w:szCs w:val="28"/>
          <w:lang w:eastAsia="zh-CN"/>
        </w:rPr>
        <w:t xml:space="preserve">采购人</w:t>
      </w:r>
      <w:r>
        <w:rPr>
          <w:rFonts w:hint="eastAsia" w:ascii="仿宋" w:hAnsi="仿宋" w:eastAsia="仿宋" w:cs="仿宋"/>
          <w:b w:val="0"/>
          <w:bCs/>
          <w:color w:val="auto"/>
          <w:sz w:val="28"/>
          <w:szCs w:val="28"/>
        </w:rPr>
        <w:t xml:space="preserve">组织进行审核，中标人需按审核意见进行必要的调整。展柜照明深化设计方案经</w:t>
      </w:r>
      <w:r>
        <w:rPr>
          <w:rFonts w:hint="eastAsia" w:ascii="仿宋" w:hAnsi="仿宋" w:eastAsia="仿宋" w:cs="仿宋"/>
          <w:b w:val="0"/>
          <w:bCs/>
          <w:color w:val="auto"/>
          <w:sz w:val="28"/>
          <w:szCs w:val="28"/>
          <w:lang w:eastAsia="zh-CN"/>
        </w:rPr>
        <w:t xml:space="preserve">采购人</w:t>
      </w:r>
      <w:r>
        <w:rPr>
          <w:rFonts w:hint="eastAsia" w:ascii="仿宋" w:hAnsi="仿宋" w:eastAsia="仿宋" w:cs="仿宋"/>
          <w:b w:val="0"/>
          <w:bCs/>
          <w:color w:val="auto"/>
          <w:sz w:val="28"/>
          <w:szCs w:val="28"/>
        </w:rPr>
        <w:t xml:space="preserve">签证确认后，中标人需配合</w:t>
      </w:r>
      <w:r>
        <w:rPr>
          <w:rFonts w:hint="eastAsia" w:ascii="仿宋" w:hAnsi="仿宋" w:eastAsia="仿宋" w:cs="仿宋"/>
          <w:b w:val="0"/>
          <w:bCs/>
          <w:color w:val="auto"/>
          <w:sz w:val="28"/>
          <w:szCs w:val="28"/>
          <w:lang w:eastAsia="zh-CN"/>
        </w:rPr>
        <w:t xml:space="preserve">采购人</w:t>
      </w:r>
      <w:r>
        <w:rPr>
          <w:rFonts w:hint="eastAsia" w:ascii="仿宋" w:hAnsi="仿宋" w:eastAsia="仿宋" w:cs="仿宋"/>
          <w:b w:val="0"/>
          <w:bCs/>
          <w:color w:val="auto"/>
          <w:sz w:val="28"/>
          <w:szCs w:val="28"/>
        </w:rPr>
        <w:t xml:space="preserve">对拟选购灯具进行搭建实样试验，经</w:t>
      </w:r>
      <w:r>
        <w:rPr>
          <w:rFonts w:hint="eastAsia" w:ascii="仿宋" w:hAnsi="仿宋" w:eastAsia="仿宋" w:cs="仿宋"/>
          <w:b w:val="0"/>
          <w:bCs/>
          <w:color w:val="auto"/>
          <w:sz w:val="28"/>
          <w:szCs w:val="28"/>
          <w:lang w:eastAsia="zh-CN"/>
        </w:rPr>
        <w:t xml:space="preserve">采购人</w:t>
      </w:r>
      <w:r>
        <w:rPr>
          <w:rFonts w:hint="eastAsia" w:ascii="仿宋" w:hAnsi="仿宋" w:eastAsia="仿宋" w:cs="仿宋"/>
          <w:b w:val="0"/>
          <w:bCs/>
          <w:color w:val="auto"/>
          <w:sz w:val="28"/>
          <w:szCs w:val="28"/>
        </w:rPr>
        <w:t xml:space="preserve">确定后方可实施采购。</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lang w:val="en-US" w:eastAsia="zh-CN"/>
        </w:rPr>
        <w:t xml:space="preserve">1、</w:t>
      </w:r>
      <w:r>
        <w:rPr>
          <w:rFonts w:ascii="仿宋" w:hAnsi="仿宋" w:eastAsia="仿宋" w:cs="仿宋"/>
          <w:bCs/>
          <w:color w:val="auto"/>
          <w:sz w:val="28"/>
          <w:szCs w:val="28"/>
        </w:rPr>
        <w:t xml:space="preserve">照明设计应符合现行国家标准《博物馆建筑设计规范》JGJ66-2015、《博物馆照明设计规范》GB/T23863-</w:t>
      </w:r>
      <w:r>
        <w:rPr>
          <w:rFonts w:ascii="仿宋" w:hAnsi="仿宋" w:eastAsia="仿宋" w:cs="仿宋"/>
          <w:bCs/>
          <w:color w:val="auto"/>
          <w:sz w:val="28"/>
          <w:szCs w:val="28"/>
          <w:lang w:eastAsia="zh-CN"/>
        </w:rPr>
        <w:t xml:space="preserve">2024</w:t>
      </w:r>
      <w:r>
        <w:rPr>
          <w:rFonts w:hint="eastAsia" w:ascii="仿宋" w:hAnsi="仿宋" w:eastAsia="仿宋" w:cs="仿宋"/>
          <w:b w:val="0"/>
          <w:bCs/>
          <w:color w:val="auto"/>
          <w:sz w:val="28"/>
          <w:szCs w:val="28"/>
        </w:rPr>
        <w:t xml:space="preserve">的规定。运用先进的照明设计理念，从文物保护、视觉需求及展示艺术效果出发，合理并有针对性地配置光源。照明设备应合理安</w:t>
      </w:r>
      <w:r>
        <w:rPr>
          <w:rFonts w:hint="eastAsia" w:ascii="仿宋" w:hAnsi="仿宋" w:eastAsia="仿宋" w:cs="仿宋"/>
          <w:b w:val="0"/>
          <w:bCs/>
          <w:color w:val="auto"/>
          <w:sz w:val="28"/>
          <w:szCs w:val="28"/>
          <w:highlight w:val="none"/>
        </w:rPr>
        <w:t xml:space="preserve">装，具有通风散热措施，电器设施空间应与展陈空间分离，以保证陈列与维修的分别管理，保护展陈空间展品。变压器，控制开关，风扇应安装过载保护装置。</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lang w:eastAsia="zh-CN"/>
        </w:rPr>
        <w:t xml:space="preserve">展厅内展品的照明应根据展品的类别确定，且照度标准值不应大于下表的规定：</w:t>
      </w:r>
      <w:r/>
    </w:p>
    <w:tbl>
      <w:tblPr>
        <w:tblStyle w:val="660"/>
        <w:tblW w:w="9638" w:type="dxa"/>
        <w:jc w:val="center"/>
        <w:tblLayout w:type="fixed"/>
        <w:tblCellMar>
          <w:left w:w="0" w:type="dxa"/>
          <w:top w:w="0" w:type="dxa"/>
          <w:right w:w="0" w:type="dxa"/>
          <w:bottom w:w="0" w:type="dxa"/>
        </w:tblCellMar>
        <w:tblLook w:val="04A0" w:firstRow="1" w:lastRow="0" w:firstColumn="1" w:lastColumn="0" w:noHBand="0" w:noVBand="1"/>
      </w:tblPr>
      <w:tblGrid>
        <w:gridCol w:w="4707"/>
        <w:gridCol w:w="1392"/>
        <w:gridCol w:w="1822"/>
        <w:gridCol w:w="1717"/>
      </w:tblGrid>
      <w:tr>
        <w:trPr>
          <w:jc w:val="center"/>
          <w:trHeight w:val="23"/>
        </w:trPr>
        <w:tc>
          <w:tcPr>
            <w:tcBorders>
              <w:top w:val="single" w:color="000000" w:sz="4" w:space="0"/>
              <w:left w:val="single" w:color="000000" w:sz="4" w:space="0"/>
              <w:bottom w:val="single" w:color="000000" w:sz="4" w:space="0"/>
              <w:right w:val="single" w:color="000000" w:sz="4" w:space="0"/>
            </w:tcBorders>
            <w:tcW w:w="4057" w:type="dxa"/>
            <w:vAlign w:val="center"/>
            <w:textDirection w:val="lrTb"/>
            <w:noWrap w:val="false"/>
          </w:tcPr>
          <w:p>
            <w:pPr>
              <w:pStyle w:val="663"/>
              <w:ind w:left="38" w:right="25" w:firstLine="551"/>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类别</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63"/>
              <w:ind w:right="25"/>
              <w:jc w:val="both"/>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参考平面及其高度</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63"/>
              <w:ind w:right="25"/>
              <w:jc w:val="both"/>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照度标准值(lx)</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663"/>
              <w:ind w:right="25"/>
              <w:jc w:val="both"/>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年曝光量</w:t>
            </w:r>
            <w:r/>
          </w:p>
          <w:p>
            <w:pPr>
              <w:pStyle w:val="663"/>
              <w:ind w:right="25"/>
              <w:jc w:val="both"/>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(lx²h/a)</w:t>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4057" w:type="dxa"/>
            <w:vAlign w:val="center"/>
            <w:textDirection w:val="lrTb"/>
            <w:noWrap w:val="false"/>
          </w:tcPr>
          <w:p>
            <w:pPr>
              <w:pStyle w:val="663"/>
              <w:ind w:left="38" w:right="25" w:firstLine="551"/>
              <w:jc w:val="left"/>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对光特别敏感的展品：纺织品、织绣品、绘画、纸质展品、彩绘、陶(石)器、染色皮革、动物标本等</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63"/>
              <w:ind w:right="25"/>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展品面</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63"/>
              <w:ind w:left="38" w:right="25" w:firstLine="551"/>
              <w:jc w:val="both"/>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≤50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663"/>
              <w:ind w:right="25"/>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≤50000</w:t>
            </w:r>
            <w:r/>
          </w:p>
        </w:tc>
      </w:tr>
      <w:tr>
        <w:trPr>
          <w:jc w:val="center"/>
          <w:trHeight w:val="911"/>
        </w:trPr>
        <w:tc>
          <w:tcPr>
            <w:tcBorders>
              <w:top w:val="single" w:color="000000" w:sz="4" w:space="0"/>
              <w:left w:val="single" w:color="000000" w:sz="4" w:space="0"/>
              <w:bottom w:val="single" w:color="000000" w:sz="4" w:space="0"/>
              <w:right w:val="single" w:color="000000" w:sz="4" w:space="0"/>
            </w:tcBorders>
            <w:tcW w:w="4057" w:type="dxa"/>
            <w:vAlign w:val="center"/>
            <w:textDirection w:val="lrTb"/>
            <w:noWrap w:val="false"/>
          </w:tcPr>
          <w:p>
            <w:pPr>
              <w:pStyle w:val="663"/>
              <w:ind w:left="38" w:right="25" w:firstLine="551"/>
              <w:jc w:val="left"/>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对光敏感的展品：油画、蛋清画、不染色皮革、角制品、骨制品、象牙制品、竹木制品和漆器等</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63"/>
              <w:ind w:right="25"/>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展品面</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63"/>
              <w:ind w:left="38" w:right="25" w:firstLine="551"/>
              <w:jc w:val="both"/>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≤150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663"/>
              <w:ind w:right="25"/>
              <w:keepLines w:val="0"/>
              <w:keepNext w:val="0"/>
              <w:pageBreakBefore w:val="0"/>
              <w:spacing w:before="92" w:line="520" w:lineRule="exact"/>
              <w:rPr>
                <w:rFonts w:hint="eastAsia" w:ascii="仿宋" w:hAnsi="仿宋" w:eastAsia="仿宋" w:cs="仿宋"/>
                <w:b w:val="0"/>
                <w:bCs/>
                <w:color w:val="auto"/>
                <w:spacing w:val="4"/>
                <w:sz w:val="28"/>
                <w:szCs w:val="28"/>
                <w:highlight w:val="none"/>
                <w:lang w:val="en-US" w:eastAsia="en-US" w:bidi="ar-SA"/>
              </w:rPr>
            </w:pPr>
            <w:r>
              <w:rPr>
                <w:rFonts w:hint="eastAsia" w:ascii="仿宋" w:hAnsi="仿宋" w:eastAsia="仿宋" w:cs="仿宋"/>
                <w:b w:val="0"/>
                <w:bCs/>
                <w:color w:val="auto"/>
                <w:spacing w:val="4"/>
                <w:sz w:val="28"/>
                <w:szCs w:val="28"/>
                <w:highlight w:val="none"/>
                <w:lang w:val="en-US" w:eastAsia="en-US" w:bidi="ar-SA"/>
              </w:rPr>
              <w:t xml:space="preserve">≤360000</w:t>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4057" w:type="dxa"/>
            <w:vAlign w:val="center"/>
            <w:textDirection w:val="lrTb"/>
            <w:noWrap w:val="false"/>
          </w:tcPr>
          <w:p>
            <w:pPr>
              <w:pStyle w:val="663"/>
              <w:ind w:left="38" w:right="25" w:firstLine="551"/>
              <w:jc w:val="left"/>
              <w:keepLines w:val="0"/>
              <w:keepNext w:val="0"/>
              <w:pageBreakBefore w:val="0"/>
              <w:spacing w:before="92" w:line="520" w:lineRule="exact"/>
              <w:rPr>
                <w:rFonts w:hint="eastAsia" w:ascii="仿宋" w:hAnsi="仿宋" w:eastAsia="仿宋" w:cs="仿宋"/>
                <w:b w:val="0"/>
                <w:bCs/>
                <w:color w:val="auto"/>
                <w:spacing w:val="4"/>
                <w:sz w:val="28"/>
                <w:szCs w:val="28"/>
                <w:lang w:val="en-US" w:eastAsia="en-US" w:bidi="ar-SA"/>
              </w:rPr>
            </w:pPr>
            <w:r>
              <w:rPr>
                <w:rFonts w:hint="eastAsia" w:ascii="仿宋" w:hAnsi="仿宋" w:eastAsia="仿宋" w:cs="仿宋"/>
                <w:b w:val="0"/>
                <w:bCs/>
                <w:color w:val="auto"/>
                <w:spacing w:val="4"/>
                <w:sz w:val="28"/>
                <w:szCs w:val="28"/>
                <w:lang w:val="en-US" w:eastAsia="en-US" w:bidi="ar-SA"/>
              </w:rPr>
              <w:t xml:space="preserve">对光不敏感的展品：金属制品、石质器物、陶瓷器、宝玉石器、岩矿标本、玻璃制品、搪瓷制品、</w:t>
            </w:r>
            <w:r>
              <w:rPr>
                <w:rFonts w:hint="eastAsia" w:ascii="仿宋" w:hAnsi="仿宋" w:eastAsia="仿宋" w:cs="仿宋"/>
                <w:b w:val="0"/>
                <w:bCs/>
                <w:color w:val="auto"/>
                <w:spacing w:val="4"/>
                <w:sz w:val="28"/>
                <w:szCs w:val="28"/>
                <w:lang w:val="en-US" w:eastAsia="zh-CN" w:bidi="ar-SA"/>
              </w:rPr>
              <w:t xml:space="preserve">珐</w:t>
            </w:r>
            <w:r>
              <w:rPr>
                <w:rFonts w:hint="eastAsia" w:ascii="仿宋" w:hAnsi="仿宋" w:eastAsia="仿宋" w:cs="仿宋"/>
                <w:b w:val="0"/>
                <w:bCs/>
                <w:color w:val="auto"/>
                <w:spacing w:val="4"/>
                <w:sz w:val="28"/>
                <w:szCs w:val="28"/>
                <w:lang w:val="en-US" w:eastAsia="en-US" w:bidi="ar-SA"/>
              </w:rPr>
              <w:t xml:space="preserve">琅器等</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63"/>
              <w:ind w:right="25"/>
              <w:keepLines w:val="0"/>
              <w:keepNext w:val="0"/>
              <w:pageBreakBefore w:val="0"/>
              <w:spacing w:before="92" w:line="520" w:lineRule="exact"/>
              <w:rPr>
                <w:rFonts w:hint="eastAsia" w:ascii="仿宋" w:hAnsi="仿宋" w:eastAsia="仿宋" w:cs="仿宋"/>
                <w:b w:val="0"/>
                <w:bCs/>
                <w:color w:val="auto"/>
                <w:spacing w:val="4"/>
                <w:sz w:val="28"/>
                <w:szCs w:val="28"/>
                <w:lang w:val="en-US" w:eastAsia="en-US" w:bidi="ar-SA"/>
              </w:rPr>
            </w:pPr>
            <w:r>
              <w:rPr>
                <w:rFonts w:hint="eastAsia" w:ascii="仿宋" w:hAnsi="仿宋" w:eastAsia="仿宋" w:cs="仿宋"/>
                <w:b w:val="0"/>
                <w:bCs/>
                <w:color w:val="auto"/>
                <w:spacing w:val="4"/>
                <w:sz w:val="28"/>
                <w:szCs w:val="28"/>
                <w:lang w:val="en-US" w:eastAsia="en-US" w:bidi="ar-SA"/>
              </w:rPr>
              <w:t xml:space="preserve">展品面</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663"/>
              <w:ind w:left="38" w:right="25" w:firstLine="551"/>
              <w:jc w:val="both"/>
              <w:keepLines w:val="0"/>
              <w:keepNext w:val="0"/>
              <w:pageBreakBefore w:val="0"/>
              <w:spacing w:before="92" w:line="520" w:lineRule="exact"/>
              <w:rPr>
                <w:rFonts w:hint="eastAsia" w:ascii="仿宋" w:hAnsi="仿宋" w:eastAsia="仿宋" w:cs="仿宋"/>
                <w:b w:val="0"/>
                <w:bCs/>
                <w:color w:val="auto"/>
                <w:spacing w:val="4"/>
                <w:sz w:val="28"/>
                <w:szCs w:val="28"/>
                <w:lang w:val="en-US" w:eastAsia="en-US" w:bidi="ar-SA"/>
              </w:rPr>
            </w:pPr>
            <w:r>
              <w:rPr>
                <w:rFonts w:hint="eastAsia" w:ascii="仿宋" w:hAnsi="仿宋" w:eastAsia="仿宋" w:cs="仿宋"/>
                <w:b w:val="0"/>
                <w:bCs/>
                <w:color w:val="auto"/>
                <w:spacing w:val="4"/>
                <w:sz w:val="28"/>
                <w:szCs w:val="28"/>
                <w:lang w:val="en-US" w:eastAsia="en-US" w:bidi="ar-SA"/>
              </w:rPr>
              <w:t xml:space="preserve">≤300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663"/>
              <w:ind w:right="25"/>
              <w:keepLines w:val="0"/>
              <w:keepNext w:val="0"/>
              <w:pageBreakBefore w:val="0"/>
              <w:spacing w:before="92" w:line="520" w:lineRule="exact"/>
              <w:rPr>
                <w:rFonts w:hint="eastAsia" w:ascii="仿宋" w:hAnsi="仿宋" w:eastAsia="仿宋" w:cs="仿宋"/>
                <w:b w:val="0"/>
                <w:bCs/>
                <w:color w:val="auto"/>
                <w:spacing w:val="4"/>
                <w:sz w:val="28"/>
                <w:szCs w:val="28"/>
                <w:lang w:val="en-US" w:eastAsia="en-US" w:bidi="ar-SA"/>
              </w:rPr>
            </w:pPr>
            <w:r>
              <w:rPr>
                <w:rFonts w:hint="eastAsia" w:ascii="仿宋" w:hAnsi="仿宋" w:eastAsia="仿宋" w:cs="仿宋"/>
                <w:b w:val="0"/>
                <w:bCs/>
                <w:color w:val="auto"/>
                <w:spacing w:val="4"/>
                <w:sz w:val="28"/>
                <w:szCs w:val="28"/>
                <w:lang w:val="en-US" w:eastAsia="en-US" w:bidi="ar-SA"/>
              </w:rPr>
              <w:t xml:space="preserve">不限制</w:t>
            </w:r>
            <w:r/>
          </w:p>
        </w:tc>
      </w:tr>
    </w:tbl>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rPr>
        <w:t xml:space="preserve">展柜配备的照明灯具均应采用LED灯具中电器经过电磁兼容优化,在开关或调光时降低对周边电磁场的影响。灯体材料及设计应利于散热，手动调节灵活，拆装方便，操作便捷，性能稳定。使用LED芯片，寿命不低于50000小时。灯具具备调光功能，与智能控制系统性能完全匹配兼容，调光过程线性、无频闪。（投标时提供产品彩页或说明书或技术手册等佐证材料</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，相关参数在证明材料中标注</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CN"/>
        </w:rPr>
        <w:t xml:space="preserve">4、轨道</w:t>
      </w:r>
      <w:r>
        <w:rPr>
          <w:rFonts w:hint="eastAsia" w:ascii="仿宋" w:hAnsi="仿宋" w:eastAsia="仿宋" w:cs="仿宋"/>
          <w:b w:val="0"/>
          <w:bCs/>
          <w:color w:val="auto"/>
          <w:sz w:val="28"/>
          <w:szCs w:val="28"/>
        </w:rPr>
        <w:t xml:space="preserve">射灯采用LED芯片，高光效，高显色性；兼顾均匀照明及重点照明，简便操作</w:t>
      </w:r>
      <w:r>
        <w:rPr>
          <w:rFonts w:hint="eastAsia" w:ascii="仿宋" w:hAnsi="仿宋" w:eastAsia="仿宋" w:cs="仿宋"/>
          <w:b w:val="0"/>
          <w:bCs/>
          <w:color w:val="auto"/>
          <w:sz w:val="28"/>
          <w:szCs w:val="28"/>
          <w:lang w:eastAsia="zh-CN"/>
        </w:rPr>
        <w:t xml:space="preserve">；显色指数 CRI≥92</w:t>
      </w:r>
      <w:r>
        <w:rPr>
          <w:rFonts w:hint="eastAsia" w:ascii="仿宋" w:hAnsi="仿宋" w:eastAsia="仿宋" w:cs="仿宋"/>
          <w:b w:val="0"/>
          <w:bCs/>
          <w:color w:val="auto"/>
          <w:sz w:val="28"/>
          <w:szCs w:val="28"/>
        </w:rPr>
        <w:t xml:space="preserve">，色容差SDCM≤3，色温应3</w:t>
      </w:r>
      <w:r>
        <w:rPr>
          <w:rFonts w:hint="eastAsia" w:ascii="仿宋" w:hAnsi="仿宋" w:eastAsia="仿宋" w:cs="仿宋"/>
          <w:b w:val="0"/>
          <w:bCs/>
          <w:color w:val="auto"/>
          <w:sz w:val="28"/>
          <w:szCs w:val="28"/>
          <w:lang w:val="en-US" w:eastAsia="zh-CN"/>
        </w:rPr>
        <w:t xml:space="preserve">0</w:t>
      </w:r>
      <w:r>
        <w:rPr>
          <w:rFonts w:hint="eastAsia" w:ascii="仿宋" w:hAnsi="仿宋" w:eastAsia="仿宋" w:cs="仿宋"/>
          <w:b w:val="0"/>
          <w:bCs/>
          <w:color w:val="auto"/>
          <w:sz w:val="28"/>
          <w:szCs w:val="28"/>
        </w:rPr>
        <w:t xml:space="preserve">00K-</w:t>
      </w:r>
      <w:r>
        <w:rPr>
          <w:rFonts w:hint="eastAsia" w:ascii="仿宋" w:hAnsi="仿宋" w:eastAsia="仿宋" w:cs="仿宋"/>
          <w:b w:val="0"/>
          <w:bCs/>
          <w:color w:val="auto"/>
          <w:sz w:val="28"/>
          <w:szCs w:val="28"/>
          <w:lang w:val="en-US" w:eastAsia="zh-CN"/>
        </w:rPr>
        <w:t xml:space="preserve">35</w:t>
      </w:r>
      <w:r>
        <w:rPr>
          <w:rFonts w:hint="eastAsia" w:ascii="仿宋" w:hAnsi="仿宋" w:eastAsia="仿宋" w:cs="仿宋"/>
          <w:b w:val="0"/>
          <w:bCs/>
          <w:color w:val="auto"/>
          <w:sz w:val="28"/>
          <w:szCs w:val="28"/>
        </w:rPr>
        <w:t xml:space="preserve">00K。（投标时提供产品彩页或说明书或技术手册等佐证材料</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，相关参数在证明材料中标注</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highlight w:val="none"/>
        </w:rPr>
        <w:t xml:space="preserve">未提供或内容不满足要求的视为未实质性满足招标文件要求</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作为无效标处理</w:t>
      </w:r>
      <w:r>
        <w:rPr>
          <w:rFonts w:hint="eastAsia" w:ascii="仿宋" w:hAnsi="仿宋" w:eastAsia="仿宋" w:cs="仿宋"/>
          <w:b w:val="0"/>
          <w:bCs/>
          <w:color w:val="auto"/>
          <w:sz w:val="28"/>
          <w:szCs w:val="28"/>
          <w:lang w:eastAsia="zh-CN"/>
        </w:rPr>
        <w:t xml:space="preserve">）</w:t>
      </w:r>
      <w:r/>
    </w:p>
    <w:p>
      <w:pPr>
        <w:pStyle w:val="924"/>
        <w:numPr>
          <w:ilvl w:val="0"/>
          <w:numId w:val="0"/>
        </w:numPr>
        <w:ind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专业照明系统具备高品质的出光质量：光斑均匀，褪晕柔和；无中心光斑过曝现象；光斑周边无色散；无二次光斑。</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CN"/>
        </w:rPr>
        <w:t xml:space="preserve">6、</w:t>
      </w:r>
      <w:r>
        <w:rPr>
          <w:rFonts w:hint="eastAsia" w:ascii="仿宋" w:hAnsi="仿宋" w:eastAsia="仿宋" w:cs="仿宋"/>
          <w:b w:val="0"/>
          <w:bCs/>
          <w:color w:val="auto"/>
          <w:sz w:val="28"/>
          <w:szCs w:val="28"/>
          <w:lang w:eastAsia="zh-CN"/>
        </w:rPr>
        <w:t xml:space="preserve">800*800mm独立柜不少于</w:t>
      </w:r>
      <w:r>
        <w:rPr>
          <w:rFonts w:hint="eastAsia" w:ascii="仿宋" w:hAnsi="仿宋" w:eastAsia="仿宋" w:cs="仿宋"/>
          <w:b w:val="0"/>
          <w:bCs/>
          <w:color w:val="auto"/>
          <w:sz w:val="28"/>
          <w:szCs w:val="28"/>
          <w:lang w:val="en-US" w:eastAsia="zh-CN"/>
        </w:rPr>
        <w:t xml:space="preserve">8</w:t>
      </w:r>
      <w:r>
        <w:rPr>
          <w:rFonts w:hint="eastAsia" w:ascii="仿宋" w:hAnsi="仿宋" w:eastAsia="仿宋" w:cs="仿宋"/>
          <w:b w:val="0"/>
          <w:bCs/>
          <w:color w:val="auto"/>
          <w:sz w:val="28"/>
          <w:szCs w:val="28"/>
          <w:lang w:eastAsia="zh-CN"/>
        </w:rPr>
        <w:t xml:space="preserve">盏射灯，</w:t>
      </w:r>
      <w:r>
        <w:rPr>
          <w:rFonts w:hint="eastAsia" w:ascii="仿宋" w:hAnsi="仿宋" w:eastAsia="仿宋" w:cs="仿宋"/>
          <w:b w:val="0"/>
          <w:bCs/>
          <w:color w:val="auto"/>
          <w:sz w:val="28"/>
          <w:szCs w:val="28"/>
          <w:lang w:val="en-US" w:eastAsia="zh-CN"/>
        </w:rPr>
        <w:t xml:space="preserve">其余尺寸</w:t>
      </w:r>
      <w:r>
        <w:rPr>
          <w:rFonts w:hint="eastAsia" w:ascii="仿宋" w:hAnsi="仿宋" w:eastAsia="仿宋" w:cs="仿宋"/>
          <w:b w:val="0"/>
          <w:bCs/>
          <w:color w:val="auto"/>
          <w:sz w:val="28"/>
          <w:szCs w:val="28"/>
          <w:lang w:eastAsia="zh-CN"/>
        </w:rPr>
        <w:t xml:space="preserve">柜体每300mm</w:t>
      </w:r>
      <w:r>
        <w:rPr>
          <w:rFonts w:hint="eastAsia" w:ascii="仿宋" w:hAnsi="仿宋" w:eastAsia="仿宋" w:cs="仿宋"/>
          <w:b w:val="0"/>
          <w:bCs/>
          <w:color w:val="auto"/>
          <w:sz w:val="28"/>
          <w:szCs w:val="28"/>
          <w:lang w:val="en-US" w:eastAsia="zh-CN"/>
        </w:rPr>
        <w:t xml:space="preserve">不少于一</w:t>
      </w:r>
      <w:r>
        <w:rPr>
          <w:rFonts w:hint="eastAsia" w:ascii="仿宋" w:hAnsi="仿宋" w:eastAsia="仿宋" w:cs="仿宋"/>
          <w:b w:val="0"/>
          <w:bCs/>
          <w:color w:val="auto"/>
          <w:sz w:val="28"/>
          <w:szCs w:val="28"/>
          <w:lang w:eastAsia="zh-CN"/>
        </w:rPr>
        <w:t xml:space="preserve">盏射灯，灯具点位布置合理，</w:t>
      </w:r>
      <w:r>
        <w:rPr>
          <w:rFonts w:hint="eastAsia" w:ascii="仿宋" w:hAnsi="仿宋" w:eastAsia="仿宋" w:cs="仿宋"/>
          <w:b w:val="0"/>
          <w:bCs/>
          <w:color w:val="auto"/>
          <w:sz w:val="28"/>
          <w:szCs w:val="28"/>
          <w:lang w:val="en-US" w:eastAsia="zh-CN"/>
        </w:rPr>
        <w:t xml:space="preserve">满足使用需求</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highlight w:val="none"/>
        </w:rPr>
        <w:t xml:space="preserve">（须针对以上要求提供承诺函。承诺函格式自拟，未提供或内容不满足要求的，视为未实质性满足招标文件要求</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作为无效标处理</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三</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展柜外照明</w:t>
      </w:r>
      <w:r>
        <w:rPr>
          <w:rFonts w:hint="eastAsia" w:ascii="仿宋" w:hAnsi="仿宋" w:eastAsia="仿宋" w:cs="仿宋"/>
          <w:b w:val="0"/>
          <w:bCs/>
          <w:color w:val="auto"/>
          <w:sz w:val="28"/>
          <w:szCs w:val="28"/>
        </w:rPr>
        <w:t xml:space="preserve">要求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展柜外</w:t>
      </w:r>
      <w:r>
        <w:rPr>
          <w:rFonts w:hint="eastAsia" w:ascii="仿宋" w:hAnsi="仿宋" w:eastAsia="仿宋" w:cs="仿宋"/>
          <w:b w:val="0"/>
          <w:bCs/>
          <w:color w:val="auto"/>
          <w:sz w:val="28"/>
          <w:szCs w:val="28"/>
        </w:rPr>
        <w:t xml:space="preserve">的照明设计应结合展厅环境照明整体设计，注重各设计阶段与环境照明的衔接与协调。各设计阶段的成果应具有一致性、完整性和可操作性。柜</w:t>
      </w:r>
      <w:r>
        <w:rPr>
          <w:rFonts w:hint="eastAsia" w:ascii="仿宋" w:hAnsi="仿宋" w:eastAsia="仿宋" w:cs="仿宋"/>
          <w:b w:val="0"/>
          <w:bCs/>
          <w:color w:val="auto"/>
          <w:sz w:val="28"/>
          <w:szCs w:val="28"/>
          <w:lang w:val="en-US" w:eastAsia="zh-CN"/>
        </w:rPr>
        <w:t xml:space="preserve">外</w:t>
      </w:r>
      <w:r>
        <w:rPr>
          <w:rFonts w:hint="eastAsia" w:ascii="仿宋" w:hAnsi="仿宋" w:eastAsia="仿宋" w:cs="仿宋"/>
          <w:b w:val="0"/>
          <w:bCs/>
          <w:color w:val="auto"/>
          <w:sz w:val="28"/>
          <w:szCs w:val="28"/>
        </w:rPr>
        <w:t xml:space="preserve">照明设计方案经</w:t>
      </w:r>
      <w:r>
        <w:rPr>
          <w:rFonts w:hint="eastAsia" w:ascii="仿宋" w:hAnsi="仿宋" w:eastAsia="仿宋" w:cs="仿宋"/>
          <w:b w:val="0"/>
          <w:bCs/>
          <w:color w:val="auto"/>
          <w:sz w:val="28"/>
          <w:szCs w:val="28"/>
          <w:lang w:eastAsia="zh-CN"/>
        </w:rPr>
        <w:t xml:space="preserve">采购人</w:t>
      </w:r>
      <w:r>
        <w:rPr>
          <w:rFonts w:hint="eastAsia" w:ascii="仿宋" w:hAnsi="仿宋" w:eastAsia="仿宋" w:cs="仿宋"/>
          <w:b w:val="0"/>
          <w:bCs/>
          <w:color w:val="auto"/>
          <w:sz w:val="28"/>
          <w:szCs w:val="28"/>
        </w:rPr>
        <w:t xml:space="preserve">确认后方可采购与施工。</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1、专业导轨射灯T01</w:t>
      </w:r>
      <w:r/>
    </w:p>
    <w:p>
      <w:pPr>
        <w:pStyle w:val="924"/>
        <w:numPr>
          <w:ilvl w:val="0"/>
          <w:numId w:val="0"/>
        </w:numPr>
        <w:ind w:left="0" w:right="0" w:firstLine="49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val="en-US" w:eastAsia="zh-CN"/>
        </w:rPr>
        <w:t xml:space="preserve">▲（1）光源：LED SMD 光源(非COB封装)；功率：22W±2W；光源寿命：</w:t>
      </w:r>
      <w:r>
        <w:rPr>
          <w:rFonts w:ascii="仿宋" w:hAnsi="仿宋" w:eastAsia="仿宋" w:cs="仿宋"/>
          <w:bCs/>
          <w:color w:val="auto"/>
          <w:sz w:val="28"/>
          <w:szCs w:val="28"/>
          <w:lang w:eastAsia="zh-CN"/>
        </w:rPr>
        <w:t xml:space="preserve">≥50000h</w:t>
      </w:r>
      <w:r>
        <w:rPr>
          <w:rFonts w:hint="eastAsia" w:ascii="仿宋" w:hAnsi="仿宋" w:eastAsia="仿宋" w:cs="仿宋"/>
          <w:b w:val="0"/>
          <w:bCs/>
          <w:color w:val="auto"/>
          <w:sz w:val="28"/>
          <w:szCs w:val="28"/>
          <w:lang w:val="en-US" w:eastAsia="zh-CN"/>
        </w:rPr>
        <w:t xml:space="preserve">；蓝光危害在RG1及以下；紫外线相对含量小于5μW/1m。（</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49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▲（2）配光类型：可通过角度透镜来实现窄光（15°±3）、中光（22°±3）、宽光（32°±4）、超宽光（42°±4）、拉伸、洗墙等不同配光。要求布光均匀，无杂光，不同角度光学镜片可以任意手动互换。（</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w:t>
      </w:r>
      <w:r/>
    </w:p>
    <w:p>
      <w:pPr>
        <w:pStyle w:val="924"/>
        <w:numPr>
          <w:ilvl w:val="0"/>
          <w:numId w:val="0"/>
        </w:numPr>
        <w:ind w:left="0" w:right="0" w:firstLine="49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▲（3）色温：3000K(±75K)；显色指数：Ra＞95 ，R9＞90；色容差：</w:t>
      </w:r>
      <w:r>
        <w:rPr>
          <w:rFonts w:ascii="仿宋" w:hAnsi="仿宋" w:eastAsia="仿宋" w:cs="仿宋"/>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3 SDCM；在3000K色温时≥651m/W（该数值只准使用整套灯具出光效率，不得混淆使用光源出光效率）。（</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（4）颜色：白色/黑色；</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（5）调节：水平360°旋转，垂直90°旋转；</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（6）材质：灯体一体化压铸铝材质，表面喷粉处理；</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（7）结构设计：电器与光源一体内置；</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（8）安装：四线三回路轨道；</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（9）控制模式：内置单灯旋钮调光，灯体有镭雕调节刻度；</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（10）调光范围：0-100%无频闪调光；</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（11）频闪控制：调光到50%时波动频率 f&gt;3125Hz；</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（12）配件功能：角度镜片，蜂窝网，遮光扇叶，滤光镜片，颜色片等；</w:t>
      </w:r>
      <w:r/>
    </w:p>
    <w:p>
      <w:pPr>
        <w:pStyle w:val="924"/>
        <w:numPr>
          <w:ilvl w:val="0"/>
          <w:numId w:val="0"/>
        </w:numPr>
        <w:ind w:left="0" w:right="0" w:firstLine="49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★（13）强制认证：CCC 认证，灯体须有标识；</w:t>
      </w:r>
      <w:r>
        <w:rPr>
          <w:rFonts w:hint="eastAsia" w:ascii="仿宋" w:hAnsi="仿宋" w:eastAsia="仿宋" w:cs="仿宋"/>
          <w:b w:val="0"/>
          <w:bCs/>
          <w:color w:val="auto"/>
          <w:sz w:val="28"/>
          <w:szCs w:val="28"/>
          <w:highlight w:val="none"/>
        </w:rPr>
        <w:t xml:space="preserve">（投标文件中需提供有效期内的CCC认证文件</w:t>
      </w:r>
      <w:r>
        <w:rPr>
          <w:rFonts w:hint="eastAsia" w:ascii="仿宋" w:hAnsi="仿宋" w:eastAsia="仿宋" w:cs="仿宋"/>
          <w:b w:val="0"/>
          <w:bCs/>
          <w:color w:val="auto"/>
          <w:sz w:val="28"/>
          <w:szCs w:val="28"/>
          <w:highlight w:val="none"/>
          <w:lang w:val="en-US" w:eastAsia="zh-CN"/>
        </w:rPr>
        <w:t xml:space="preserve">扫描件及相关</w:t>
      </w:r>
      <w:r>
        <w:rPr>
          <w:rFonts w:hint="eastAsia" w:ascii="仿宋" w:hAnsi="仿宋" w:eastAsia="仿宋" w:cs="仿宋"/>
          <w:b w:val="0"/>
          <w:bCs/>
          <w:color w:val="auto"/>
          <w:sz w:val="28"/>
          <w:szCs w:val="28"/>
          <w:highlight w:val="none"/>
        </w:rPr>
        <w:t xml:space="preserve">的证明材料。未提供或内容不满足要求的，视为未实质性满足招标文件要求，作为无效标处理。）</w:t>
      </w:r>
      <w:r/>
    </w:p>
    <w:p>
      <w:pPr>
        <w:pStyle w:val="924"/>
        <w:numPr>
          <w:ilvl w:val="0"/>
          <w:numId w:val="0"/>
        </w:numPr>
        <w:ind w:left="0" w:right="0" w:firstLine="490"/>
        <w:jc w:val="left"/>
        <w:keepLines w:val="0"/>
        <w:keepNext w:val="0"/>
        <w:pageBreakBefore w:val="0"/>
        <w:spacing w:beforeAutospacing="0" w:afterAutospacing="0" w:line="520" w:lineRule="exact"/>
        <w:widowControl/>
        <w:tabs>
          <w:tab w:val="left" w:pos="0" w:leader="none"/>
        </w:tabs>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（14）电器：采用与灯具一体化设计的原厂配套电器，不允许使用外购电器；</w:t>
      </w:r>
      <w:r/>
    </w:p>
    <w:p>
      <w:pPr>
        <w:pStyle w:val="924"/>
        <w:numPr>
          <w:ilvl w:val="0"/>
          <w:numId w:val="0"/>
        </w:numPr>
        <w:ind w:left="0" w:right="0" w:firstLine="490"/>
        <w:jc w:val="left"/>
        <w:keepLines w:val="0"/>
        <w:keepNext w:val="0"/>
        <w:pageBreakBefore w:val="0"/>
        <w:spacing w:beforeAutospacing="0" w:afterAutospacing="0" w:line="520" w:lineRule="exact"/>
        <w:widowControl/>
        <w:tabs>
          <w:tab w:val="left" w:pos="0" w:leader="none"/>
        </w:tabs>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（15）光源异常时电器安全关断输出，避免光源寿终时的循环启动；功率因素不低于0.95；恒定的输出功率，电源频率 50/60Hz；电磁兼容性符合GB17743标准；   </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2、专业导轨射灯T02</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▲（1）光源：LED光源；功率：14±2W；蓝光危害在RG1及以下；紫外线相对含量小于5μW/1m。（</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   </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▲（2）配光类型：光束角最小角度≤15°，最大角度≥50°，内置调焦系统，任意光束角调节时保持外观尺寸一致美观性；要求布光均匀，无杂光。（</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▲（3）色温：3000K(±75K)；显色指数：Ra＞95 ，R9＞90；色容差：＜3 SDCM；在3000K色温时≥70lm/W（该数值只准使用整套灯具出光效率，不得混淆使用光源出光效率）。（</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w:t>
      </w:r>
      <w:r/>
    </w:p>
    <w:p>
      <w:pPr>
        <w:pStyle w:val="924"/>
        <w:numPr>
          <w:ilvl w:val="0"/>
          <w:numId w:val="0"/>
        </w:numPr>
        <w:ind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（4）光源寿命：</w:t>
      </w:r>
      <w:r>
        <w:rPr>
          <w:rFonts w:ascii="仿宋" w:hAnsi="仿宋" w:eastAsia="仿宋" w:cs="仿宋"/>
          <w:bCs/>
          <w:color w:val="auto"/>
          <w:sz w:val="28"/>
          <w:szCs w:val="28"/>
          <w:lang w:eastAsia="zh-CN"/>
        </w:rPr>
        <w:t xml:space="preserve">≥50000h</w:t>
      </w:r>
      <w:r>
        <w:rPr>
          <w:rFonts w:hint="eastAsia" w:ascii="仿宋" w:hAnsi="仿宋" w:eastAsia="仿宋" w:cs="仿宋"/>
          <w:b w:val="0"/>
          <w:bCs/>
          <w:color w:val="auto"/>
          <w:sz w:val="28"/>
          <w:szCs w:val="28"/>
          <w:lang w:val="en-US" w:eastAsia="zh-CN"/>
        </w:rPr>
        <w:t xml:space="preserve">；</w:t>
      </w:r>
      <w:r/>
    </w:p>
    <w:p>
      <w:pPr>
        <w:pStyle w:val="924"/>
        <w:numPr>
          <w:ilvl w:val="0"/>
          <w:numId w:val="0"/>
        </w:numPr>
        <w:ind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（5）颜色：白色/黑色；</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（6）调节：水平360°旋转，垂直90°旋转；</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（7）材质：灯体一体化压铸铝材质，表面喷粉处理； </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（8）结构设计：电器与光源一体内置；</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（9）安装：四线三回路轨道；</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（10）控制模式：内置单灯旋钮调光，灯体有镭雕调节刻度；</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 xml:space="preserve">（11）调光范围：0-100%无频闪调光；</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（12）频闪控制：调光到50%时波动频率 f&gt;3125Hz；</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（13）配件功能：蜂窝网，遮光扇叶，滤光镜片等；</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★（14）强制认证：CCC 认证，灯体须有标识；</w:t>
      </w:r>
      <w:r>
        <w:rPr>
          <w:rFonts w:hint="eastAsia" w:ascii="仿宋" w:hAnsi="仿宋" w:eastAsia="仿宋" w:cs="仿宋"/>
          <w:b w:val="0"/>
          <w:bCs/>
          <w:color w:val="auto"/>
          <w:sz w:val="28"/>
          <w:szCs w:val="28"/>
          <w:highlight w:val="none"/>
        </w:rPr>
        <w:t xml:space="preserve">（投标文件中需提供有效期内的CCC认证文件</w:t>
      </w:r>
      <w:r>
        <w:rPr>
          <w:rFonts w:ascii="仿宋" w:hAnsi="仿宋" w:eastAsia="仿宋" w:cs="仿宋"/>
          <w:bCs/>
          <w:color w:val="auto"/>
          <w:sz w:val="28"/>
          <w:szCs w:val="28"/>
        </w:rPr>
        <w:t xml:space="preserve">扫</w:t>
      </w:r>
      <w:r>
        <w:rPr>
          <w:rFonts w:hint="eastAsia" w:ascii="仿宋" w:hAnsi="仿宋" w:eastAsia="仿宋" w:cs="仿宋"/>
          <w:bCs/>
          <w:color w:val="auto"/>
          <w:sz w:val="28"/>
          <w:szCs w:val="28"/>
          <w:lang w:val="en-US" w:eastAsia="zh-CN"/>
        </w:rPr>
        <w:t xml:space="preserve">描</w:t>
      </w:r>
      <w:r>
        <w:rPr>
          <w:rFonts w:ascii="仿宋" w:hAnsi="仿宋" w:eastAsia="仿宋" w:cs="仿宋"/>
          <w:bCs/>
          <w:color w:val="auto"/>
          <w:sz w:val="28"/>
          <w:szCs w:val="28"/>
        </w:rPr>
        <w:t xml:space="preserve">件及相关</w:t>
      </w:r>
      <w:r>
        <w:rPr>
          <w:rFonts w:hint="eastAsia" w:ascii="仿宋" w:hAnsi="仿宋" w:eastAsia="仿宋" w:cs="仿宋"/>
          <w:b w:val="0"/>
          <w:bCs/>
          <w:color w:val="auto"/>
          <w:sz w:val="28"/>
          <w:szCs w:val="28"/>
          <w:highlight w:val="none"/>
        </w:rPr>
        <w:t xml:space="preserve">的证明材料。未提供或内容不满足要求的，视为未实质性满足招标文件要求，作为无效标处理。）</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（15）电器：采用与灯具一体化设计的原厂配套电器，不允许使用外购电器；</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（16）光源异常时电器安全关断输出，避免光源寿终时的循环启动；功率因素不低于0.95；恒定的输出功率，电源频率 50/60Hz；电磁兼容性符合GB17743标准；</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3、四线三回路轨道</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lang w:eastAsia="zh-CN"/>
        </w:rPr>
        <w:t xml:space="preserve">材质：铝合金+PC+铜</w:t>
      </w:r>
      <w:r>
        <w:rPr>
          <w:rFonts w:hint="eastAsia" w:ascii="仿宋" w:hAnsi="仿宋" w:eastAsia="仿宋" w:cs="仿宋"/>
          <w:b w:val="0"/>
          <w:bCs/>
          <w:color w:val="auto"/>
          <w:sz w:val="28"/>
          <w:szCs w:val="28"/>
          <w:highlight w:val="none"/>
          <w:lang w:val="en-US"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lang w:eastAsia="zh-CN"/>
        </w:rPr>
        <w:t xml:space="preserve">额定输入电压、电流：220-250V/16A</w:t>
      </w:r>
      <w:r>
        <w:rPr>
          <w:rFonts w:hint="eastAsia" w:ascii="仿宋" w:hAnsi="仿宋" w:eastAsia="仿宋" w:cs="仿宋"/>
          <w:b w:val="0"/>
          <w:bCs/>
          <w:color w:val="auto"/>
          <w:sz w:val="28"/>
          <w:szCs w:val="28"/>
          <w:highlight w:val="none"/>
          <w:lang w:val="en-US"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lang w:eastAsia="zh-CN"/>
        </w:rPr>
        <w:t xml:space="preserve">回路：3个</w:t>
      </w:r>
      <w:r>
        <w:rPr>
          <w:rFonts w:hint="eastAsia" w:ascii="仿宋" w:hAnsi="仿宋" w:eastAsia="仿宋" w:cs="仿宋"/>
          <w:b w:val="0"/>
          <w:bCs/>
          <w:color w:val="auto"/>
          <w:sz w:val="28"/>
          <w:szCs w:val="28"/>
          <w:highlight w:val="none"/>
          <w:lang w:val="en-US"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（4）工艺：阳极氧化/防腐静电喷涂；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▲（5）适配性：适配灯具，轨道与灯具保持同一品牌；</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w:t>
      </w:r>
      <w:r>
        <w:rPr>
          <w:rFonts w:hint="eastAsia" w:ascii="仿宋" w:hAnsi="仿宋" w:eastAsia="仿宋" w:cs="仿宋"/>
          <w:b w:val="0"/>
          <w:bCs/>
          <w:color w:val="auto"/>
          <w:sz w:val="28"/>
          <w:szCs w:val="28"/>
          <w:highlight w:val="none"/>
          <w:lang w:eastAsia="zh-CN"/>
        </w:rPr>
        <w:t xml:space="preserve">配件：包含进电端、I型连接器、L型连接器、尾盖等配件</w:t>
      </w:r>
      <w:r>
        <w:rPr>
          <w:rFonts w:hint="eastAsia" w:ascii="仿宋" w:hAnsi="仿宋" w:eastAsia="仿宋" w:cs="仿宋"/>
          <w:b w:val="0"/>
          <w:bCs/>
          <w:color w:val="auto"/>
          <w:sz w:val="28"/>
          <w:szCs w:val="28"/>
          <w:highlight w:val="none"/>
          <w:lang w:val="en-US"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（四）多媒体屏</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1、透明屏幕</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液晶面板尺寸：≥55寸；</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画面比例：16:9；</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分辨率：≥1920×1080 ；</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4</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刷新率：刷新率：120Hz120Hz；</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透明度：≥38%；</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6</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有效显示范围：1209.6(H)×680.4(V)（误差±10mm）；</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7</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标准颜色：1.07B  10Bit；</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8</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背光类型：OLED 自发光；</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9</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亮度：400nit/150nit (center 1 point.typ.)；</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对比度：≥150000:1；</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响应时间：≤8ms；</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可视角度：Min60/60/60/60；</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信号接口：DP输入1路：1920×1080P 向下兼容；</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电源输入电压范围：AC100～240V,50/60Hz；</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工作环境温度：0℃～50℃；</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16</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外形尺寸透明区域尺寸：1235×703mm（误差±10mm）；</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品牌控制工作站</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CPU：核心数≥8，线程≥12，主频≥2.5GHz；</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内存：≥16G；</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硬盘:≥512G 固态；</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显卡：独立显卡，内存≥8G；</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硬盘：≥1T；</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rPr>
        <w:t xml:space="preserve">触摸系统模组</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触控点数：40 点；</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尺寸大小：55 寸（尺寸约 1218</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684mm）；</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触控偏差： ≤0.5mm；</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扫描速度：≤8毫秒/帧；</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FPS：≥120；</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6</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透光率：≥93%；</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7</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传输方式：USB2.0；</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b w:val="0"/>
          <w:bCs/>
          <w:color w:val="auto"/>
          <w:sz w:val="28"/>
          <w:szCs w:val="28"/>
        </w:rPr>
        <w:t xml:space="preserve">音频系统模组</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接口：3.5mm 音频；</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理论功率：20w 以下；</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灵敏度：≥85db；</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信噪比：≥85db；</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扬声器数量：≥2个；</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Hans"/>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6</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阻抗：4 Ω ;</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Hans"/>
        </w:rPr>
        <w:t xml:space="preserve">（</w:t>
      </w:r>
      <w:r>
        <w:rPr>
          <w:rFonts w:hint="eastAsia" w:ascii="仿宋" w:hAnsi="仿宋" w:eastAsia="仿宋" w:cs="仿宋"/>
          <w:b w:val="0"/>
          <w:bCs/>
          <w:color w:val="auto"/>
          <w:sz w:val="28"/>
          <w:szCs w:val="28"/>
          <w:lang w:val="en-US" w:eastAsia="zh-CN"/>
        </w:rPr>
        <w:t xml:space="preserve">五</w:t>
      </w:r>
      <w:r>
        <w:rPr>
          <w:rFonts w:hint="eastAsia" w:ascii="仿宋" w:hAnsi="仿宋" w:eastAsia="仿宋" w:cs="仿宋"/>
          <w:b w:val="0"/>
          <w:bCs/>
          <w:color w:val="auto"/>
          <w:sz w:val="28"/>
          <w:szCs w:val="28"/>
          <w:lang w:val="en-US" w:eastAsia="zh-Hans"/>
        </w:rPr>
        <w:t xml:space="preserve">）</w:t>
      </w:r>
      <w:r>
        <w:rPr>
          <w:rFonts w:hint="eastAsia" w:ascii="仿宋" w:hAnsi="仿宋" w:eastAsia="仿宋" w:cs="仿宋"/>
          <w:b w:val="0"/>
          <w:bCs/>
          <w:color w:val="auto"/>
          <w:sz w:val="28"/>
          <w:szCs w:val="28"/>
        </w:rPr>
        <w:t xml:space="preserve">展柜净化调湿装置</w:t>
      </w:r>
      <w:r/>
    </w:p>
    <w:p>
      <w:pPr>
        <w:ind w:firstLine="560"/>
        <w:keepLines w:val="0"/>
        <w:keepNext w:val="0"/>
        <w:pageBreakBefore w:val="0"/>
        <w:spacing w:line="520" w:lineRule="exact"/>
        <w:widowControl/>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净化调湿装置具备实时监测和自动调节功能，具备无线通讯手段，可通过移动端或网页端实时查看设备运行数据、设置参数。中标人需配合采购人对拟选购“主动调控”设备进行搭建实样试验，经采购人确定后方可实施采购。</w:t>
      </w:r>
      <w:r/>
    </w:p>
    <w:p>
      <w:pPr>
        <w:ind w:firstLine="560"/>
        <w:keepLines w:val="0"/>
        <w:keepNext w:val="0"/>
        <w:pageBreakBefore w:val="0"/>
        <w:spacing w:line="52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展柜配备的文物保存环境调控设备应根据不同类型、质地藏品的环境温湿度的差异化需求，依据国家文物局制定及出版的《博物馆设计规范》、《博物馆藏品保存环境试行规范》中对文物保存环境的参数规定，须满足各类文物藏品良好保存所必需的湿度环境。应符合下表的规定:</w:t>
      </w:r>
      <w:r/>
    </w:p>
    <w:tbl>
      <w:tblPr>
        <w:tblStyle w:val="66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13"/>
        <w:gridCol w:w="5374"/>
        <w:gridCol w:w="3151"/>
      </w:tblGrid>
      <w:tr>
        <w:trPr>
          <w:jc w:val="center"/>
        </w:trPr>
        <w:tc>
          <w:tcPr>
            <w:tcMar>
              <w:left w:w="108" w:type="dxa"/>
              <w:top w:w="0" w:type="dxa"/>
              <w:right w:w="108" w:type="dxa"/>
              <w:bottom w:w="0" w:type="dxa"/>
            </w:tcMar>
            <w:tcW w:w="900" w:type="dxa"/>
            <w:vAlign w:val="center"/>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材质</w:t>
            </w:r>
            <w:r/>
          </w:p>
        </w:tc>
        <w:tc>
          <w:tcPr>
            <w:tcMar>
              <w:left w:w="108" w:type="dxa"/>
              <w:top w:w="0" w:type="dxa"/>
              <w:right w:w="108" w:type="dxa"/>
              <w:bottom w:w="0" w:type="dxa"/>
            </w:tcMar>
            <w:tcW w:w="4345" w:type="dxa"/>
            <w:vAlign w:val="center"/>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藏品类性</w:t>
            </w:r>
            <w:r/>
          </w:p>
        </w:tc>
        <w:tc>
          <w:tcPr>
            <w:tcMar>
              <w:left w:w="108" w:type="dxa"/>
              <w:top w:w="0" w:type="dxa"/>
              <w:right w:w="108" w:type="dxa"/>
              <w:bottom w:w="0" w:type="dxa"/>
            </w:tcMar>
            <w:tcW w:w="2548" w:type="dxa"/>
            <w:vAlign w:val="center"/>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相对湿度(%)</w:t>
            </w:r>
            <w:r/>
          </w:p>
        </w:tc>
      </w:tr>
      <w:tr>
        <w:trPr>
          <w:cantSplit/>
          <w:jc w:val="center"/>
          <w:trHeight w:val="300"/>
        </w:trPr>
        <w:tc>
          <w:tcPr>
            <w:tcMar>
              <w:left w:w="108" w:type="dxa"/>
              <w:top w:w="0" w:type="dxa"/>
              <w:right w:w="108" w:type="dxa"/>
              <w:bottom w:w="0" w:type="dxa"/>
            </w:tcMar>
            <w:tcW w:w="900" w:type="dxa"/>
            <w:vAlign w:val="center"/>
            <w:vMerge w:val="restart"/>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金属</w:t>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青铜器、铁器、金银器、金属币</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0-40</w:t>
            </w:r>
            <w:r/>
          </w:p>
        </w:tc>
      </w:tr>
      <w:tr>
        <w:trPr>
          <w:cantSplit/>
          <w:jc w:val="center"/>
          <w:trHeight w:val="285"/>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锡器、铅器</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0-40</w:t>
            </w:r>
            <w:r/>
          </w:p>
        </w:tc>
      </w:tr>
      <w:tr>
        <w:trPr>
          <w:cantSplit/>
          <w:jc w:val="center"/>
          <w:trHeight w:val="330"/>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珐琅器、搪瓷器</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40-50</w:t>
            </w:r>
            <w:r/>
          </w:p>
        </w:tc>
      </w:tr>
      <w:tr>
        <w:trPr>
          <w:cantSplit/>
          <w:jc w:val="center"/>
          <w:trHeight w:val="255"/>
        </w:trPr>
        <w:tc>
          <w:tcPr>
            <w:tcMar>
              <w:left w:w="108" w:type="dxa"/>
              <w:top w:w="0" w:type="dxa"/>
              <w:right w:w="108" w:type="dxa"/>
              <w:bottom w:w="0" w:type="dxa"/>
            </w:tcMar>
            <w:tcW w:w="900" w:type="dxa"/>
            <w:vAlign w:val="center"/>
            <w:vMerge w:val="restart"/>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硅酸盐</w:t>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陶器、陶俑、唐三彩、紫砂器、砖瓦</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40-50</w:t>
            </w:r>
            <w:r/>
          </w:p>
        </w:tc>
      </w:tr>
      <w:tr>
        <w:trPr>
          <w:cantSplit/>
          <w:jc w:val="center"/>
          <w:trHeight w:val="225"/>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瓷器</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40-50</w:t>
            </w:r>
            <w:r/>
          </w:p>
        </w:tc>
      </w:tr>
      <w:tr>
        <w:trPr>
          <w:cantSplit/>
          <w:jc w:val="center"/>
          <w:trHeight w:val="435"/>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玻璃器</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0-40</w:t>
            </w:r>
            <w:r/>
          </w:p>
        </w:tc>
      </w:tr>
      <w:tr>
        <w:trPr>
          <w:cantSplit/>
          <w:jc w:val="center"/>
          <w:trHeight w:val="420"/>
        </w:trPr>
        <w:tc>
          <w:tcPr>
            <w:tcMar>
              <w:left w:w="108" w:type="dxa"/>
              <w:top w:w="0" w:type="dxa"/>
              <w:right w:w="108" w:type="dxa"/>
              <w:bottom w:w="0" w:type="dxa"/>
            </w:tcMar>
            <w:tcW w:w="900" w:type="dxa"/>
            <w:vAlign w:val="center"/>
            <w:vMerge w:val="restart"/>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岩石</w:t>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石器、碑刻、石雕、石砚、画像石、岩画、玉器、宝石</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40-50</w:t>
            </w:r>
            <w:r/>
          </w:p>
        </w:tc>
      </w:tr>
      <w:tr>
        <w:trPr>
          <w:cantSplit/>
          <w:jc w:val="center"/>
          <w:trHeight w:val="451"/>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古生物化石、岩矿标本</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40-50</w:t>
            </w:r>
            <w:r/>
          </w:p>
        </w:tc>
      </w:tr>
      <w:tr>
        <w:trPr>
          <w:cantSplit/>
          <w:jc w:val="center"/>
          <w:trHeight w:val="360"/>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彩绘泥塑、壁画</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40-50</w:t>
            </w:r>
            <w:r/>
          </w:p>
        </w:tc>
      </w:tr>
      <w:tr>
        <w:trPr>
          <w:cantSplit/>
          <w:jc w:val="center"/>
          <w:trHeight w:val="420"/>
        </w:trPr>
        <w:tc>
          <w:tcPr>
            <w:tcMar>
              <w:left w:w="108" w:type="dxa"/>
              <w:top w:w="0" w:type="dxa"/>
              <w:right w:w="108" w:type="dxa"/>
              <w:bottom w:w="0" w:type="dxa"/>
            </w:tcMar>
            <w:tcW w:w="900" w:type="dxa"/>
            <w:vAlign w:val="center"/>
            <w:vMerge w:val="restart"/>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动植物</w:t>
            </w:r>
            <w:r/>
          </w:p>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材料</w:t>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纸张、文献、经卷、书法、国画、书籍、拓片、邮票</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50-60</w:t>
            </w:r>
            <w:r/>
          </w:p>
        </w:tc>
      </w:tr>
      <w:tr>
        <w:trPr>
          <w:cantSplit/>
          <w:jc w:val="center"/>
          <w:trHeight w:val="450"/>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丝毛棉麻纺织品、织绣、服装、帛书、唐卡、油画</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50-60</w:t>
            </w:r>
            <w:r/>
          </w:p>
        </w:tc>
      </w:tr>
      <w:tr>
        <w:trPr>
          <w:cantSplit/>
          <w:jc w:val="center"/>
          <w:trHeight w:val="465"/>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漆器、木器、木雕、竹器、藤器、家具、版画</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50-60</w:t>
            </w:r>
            <w:r/>
          </w:p>
        </w:tc>
      </w:tr>
      <w:tr>
        <w:trPr>
          <w:cantSplit/>
          <w:jc w:val="center"/>
          <w:trHeight w:val="450"/>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象牙制品、甲骨制品、角制器、贝壳制品</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50-60</w:t>
            </w:r>
            <w:r/>
          </w:p>
        </w:tc>
      </w:tr>
      <w:tr>
        <w:trPr>
          <w:cantSplit/>
          <w:jc w:val="center"/>
          <w:trHeight w:val="450"/>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皮革、皮毛</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50-60</w:t>
            </w:r>
            <w:r/>
          </w:p>
        </w:tc>
      </w:tr>
      <w:tr>
        <w:trPr>
          <w:cantSplit/>
          <w:jc w:val="center"/>
          <w:trHeight w:val="510"/>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动物标本、植物标本</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50-60</w:t>
            </w:r>
            <w:r/>
          </w:p>
        </w:tc>
      </w:tr>
      <w:tr>
        <w:trPr>
          <w:cantSplit/>
          <w:jc w:val="center"/>
          <w:trHeight w:val="510"/>
        </w:trPr>
        <w:tc>
          <w:tcPr>
            <w:tcMar>
              <w:left w:w="108" w:type="dxa"/>
              <w:top w:w="0" w:type="dxa"/>
              <w:right w:w="108" w:type="dxa"/>
              <w:bottom w:w="0" w:type="dxa"/>
            </w:tcMar>
            <w:tcW w:w="900" w:type="dxa"/>
            <w:vAlign w:val="center"/>
            <w:vMerge w:val="restart"/>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其他</w:t>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黑白照片及胶片</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40-50</w:t>
            </w:r>
            <w:r/>
          </w:p>
        </w:tc>
      </w:tr>
      <w:tr>
        <w:trPr>
          <w:cantSplit/>
          <w:jc w:val="center"/>
          <w:trHeight w:val="420"/>
        </w:trPr>
        <w:tc>
          <w:tcPr>
            <w:tcW w:w="900" w:type="dxa"/>
            <w:vAlign w:val="center"/>
            <w:vMerge w:val="continue"/>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tc>
        <w:tc>
          <w:tcPr>
            <w:tcMar>
              <w:left w:w="108" w:type="dxa"/>
              <w:top w:w="0" w:type="dxa"/>
              <w:right w:w="108" w:type="dxa"/>
              <w:bottom w:w="0" w:type="dxa"/>
            </w:tcMar>
            <w:tcW w:w="4345" w:type="dxa"/>
            <w:vAlign w:val="center"/>
            <w:textDirection w:val="lrTb"/>
            <w:noWrap w:val="false"/>
          </w:tcPr>
          <w:p>
            <w:pP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彩色照片及胶片</w:t>
            </w:r>
            <w:r/>
          </w:p>
        </w:tc>
        <w:tc>
          <w:tcPr>
            <w:tcMar>
              <w:left w:w="108" w:type="dxa"/>
              <w:top w:w="0" w:type="dxa"/>
              <w:right w:w="108" w:type="dxa"/>
              <w:bottom w:w="0" w:type="dxa"/>
            </w:tcMar>
            <w:tcW w:w="2548" w:type="dxa"/>
            <w:textDirection w:val="lrTb"/>
            <w:noWrap w:val="false"/>
          </w:tcPr>
          <w:p>
            <w:pPr>
              <w:jc w:val="center"/>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40-50</w:t>
            </w:r>
            <w:r/>
          </w:p>
        </w:tc>
      </w:tr>
    </w:tbl>
    <w:p>
      <w:pPr>
        <w:ind w:firstLine="560"/>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稳定性好可靠性高，且操作简易，不锈钢及机壳坚固耐用、安全可靠。可以24小时不间断稳定运行，为展柜提供一个持续良好的湿度环境。</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lang w:eastAsia="zh-CN"/>
        </w:rPr>
        <w:t xml:space="preserve">）运行时</w:t>
      </w:r>
      <w:r>
        <w:rPr>
          <w:rFonts w:hint="eastAsia" w:ascii="仿宋" w:hAnsi="仿宋" w:eastAsia="仿宋" w:cs="仿宋"/>
          <w:b w:val="0"/>
          <w:bCs/>
          <w:color w:val="auto"/>
          <w:sz w:val="28"/>
          <w:szCs w:val="28"/>
          <w:highlight w:val="none"/>
        </w:rPr>
        <w:t xml:space="preserve">噪音</w:t>
      </w:r>
      <w:r>
        <w:rPr>
          <w:rFonts w:hint="eastAsia" w:ascii="仿宋" w:hAnsi="仿宋" w:eastAsia="仿宋" w:cs="仿宋"/>
          <w:b w:val="0"/>
          <w:bCs/>
          <w:color w:val="auto"/>
          <w:sz w:val="28"/>
          <w:szCs w:val="28"/>
          <w:highlight w:val="none"/>
          <w:lang w:val="en-US" w:eastAsia="zh-CN"/>
        </w:rPr>
        <w:t xml:space="preserve">低于</w:t>
      </w:r>
      <w:r>
        <w:rPr>
          <w:rFonts w:hint="eastAsia" w:ascii="仿宋" w:hAnsi="仿宋" w:eastAsia="仿宋" w:cs="仿宋"/>
          <w:b w:val="0"/>
          <w:bCs/>
          <w:color w:val="auto"/>
          <w:sz w:val="28"/>
          <w:szCs w:val="28"/>
          <w:highlight w:val="none"/>
        </w:rPr>
        <w:t xml:space="preserve">50db</w:t>
      </w:r>
      <w:r>
        <w:rPr>
          <w:rFonts w:hint="eastAsia" w:ascii="仿宋" w:hAnsi="仿宋" w:eastAsia="仿宋" w:cs="仿宋"/>
          <w:b w:val="0"/>
          <w:bCs/>
          <w:color w:val="auto"/>
          <w:sz w:val="28"/>
          <w:szCs w:val="28"/>
          <w:highlight w:val="none"/>
          <w:lang w:eastAsia="zh-CN"/>
        </w:rPr>
        <w:t xml:space="preserve">，以免影响观众参观体验和博物馆的安静氛围。</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4</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rPr>
        <w:t xml:space="preserve">恒湿系统的控湿范围：30%RH-70%RH，控制精度:±2.0%。以适应不同季节以及不同展品对湿度的特殊要求。</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5</w:t>
      </w:r>
      <w:r>
        <w:rPr>
          <w:rFonts w:hint="eastAsia" w:ascii="仿宋" w:hAnsi="仿宋" w:eastAsia="仿宋" w:cs="仿宋"/>
          <w:b w:val="0"/>
          <w:bCs/>
          <w:color w:val="auto"/>
          <w:sz w:val="28"/>
          <w:szCs w:val="28"/>
          <w:highlight w:val="none"/>
          <w:lang w:eastAsia="zh-CN"/>
        </w:rPr>
        <w:t xml:space="preserve">）具有双向无线通信功能，具备低复杂度、自组织、低功耗、高数据速率， 低成本的特点，便于微环境调控，集中监控和设备管理</w:t>
      </w:r>
      <w:r>
        <w:rPr>
          <w:rFonts w:hint="eastAsia" w:ascii="仿宋" w:hAnsi="仿宋" w:eastAsia="仿宋" w:cs="仿宋"/>
          <w:b w:val="0"/>
          <w:bCs/>
          <w:color w:val="auto"/>
          <w:sz w:val="28"/>
          <w:szCs w:val="28"/>
          <w:highlight w:val="none"/>
          <w:lang w:val="en-US" w:eastAsia="zh-CN"/>
        </w:rPr>
        <w:t xml:space="preserve">。</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6</w:t>
      </w:r>
      <w:r>
        <w:rPr>
          <w:rFonts w:hint="eastAsia" w:ascii="仿宋" w:hAnsi="仿宋" w:eastAsia="仿宋" w:cs="仿宋"/>
          <w:b w:val="0"/>
          <w:bCs/>
          <w:color w:val="auto"/>
          <w:sz w:val="28"/>
          <w:szCs w:val="28"/>
          <w:highlight w:val="none"/>
          <w:lang w:eastAsia="zh-CN"/>
        </w:rPr>
        <w:t xml:space="preserve">）系统实现免维护功能，在适用环境条件下，不需要加水排水。</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7</w:t>
      </w:r>
      <w:r>
        <w:rPr>
          <w:rFonts w:hint="eastAsia" w:ascii="仿宋" w:hAnsi="仿宋" w:eastAsia="仿宋" w:cs="仿宋"/>
          <w:b w:val="0"/>
          <w:bCs/>
          <w:color w:val="auto"/>
          <w:sz w:val="28"/>
          <w:szCs w:val="28"/>
          <w:highlight w:val="none"/>
          <w:lang w:eastAsia="zh-CN"/>
        </w:rPr>
        <w:t xml:space="preserve">）具备自动诊断和远程诊断功能，可大幅度降低售后服务成本，以及设备使用方法维护成本。</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8</w:t>
      </w:r>
      <w:r>
        <w:rPr>
          <w:rFonts w:hint="eastAsia" w:ascii="仿宋" w:hAnsi="仿宋" w:eastAsia="仿宋" w:cs="仿宋"/>
          <w:b w:val="0"/>
          <w:bCs/>
          <w:color w:val="auto"/>
          <w:sz w:val="28"/>
          <w:szCs w:val="28"/>
          <w:highlight w:val="none"/>
          <w:lang w:eastAsia="zh-CN"/>
        </w:rPr>
        <w:t xml:space="preserve">）能耗表现：全热回收效率60%以上。</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9</w:t>
      </w:r>
      <w:r>
        <w:rPr>
          <w:rFonts w:hint="eastAsia" w:ascii="仿宋" w:hAnsi="仿宋" w:eastAsia="仿宋" w:cs="仿宋"/>
          <w:b w:val="0"/>
          <w:bCs/>
          <w:color w:val="auto"/>
          <w:sz w:val="28"/>
          <w:szCs w:val="28"/>
          <w:highlight w:val="none"/>
          <w:lang w:eastAsia="zh-CN"/>
        </w:rPr>
        <w:t xml:space="preserve">）全新风处理，新风过滤装置采用效果好、无耗材的溶液过滤技术方案。</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（1</w:t>
      </w:r>
      <w:r>
        <w:rPr>
          <w:rFonts w:hint="eastAsia" w:ascii="仿宋" w:hAnsi="仿宋" w:eastAsia="仿宋" w:cs="仿宋"/>
          <w:b w:val="0"/>
          <w:bCs/>
          <w:color w:val="auto"/>
          <w:sz w:val="28"/>
          <w:szCs w:val="28"/>
          <w:highlight w:val="none"/>
          <w:lang w:val="en-US" w:eastAsia="zh-CN"/>
        </w:rPr>
        <w:t xml:space="preserve">0</w:t>
      </w:r>
      <w:r>
        <w:rPr>
          <w:rFonts w:hint="eastAsia" w:ascii="仿宋" w:hAnsi="仿宋" w:eastAsia="仿宋" w:cs="仿宋"/>
          <w:b w:val="0"/>
          <w:bCs/>
          <w:color w:val="auto"/>
          <w:sz w:val="28"/>
          <w:szCs w:val="28"/>
          <w:highlight w:val="none"/>
          <w:lang w:eastAsia="zh-CN"/>
        </w:rPr>
        <w:t xml:space="preserve">）空气净化方式：机组内：尼龙网+ 初效过滤器+ 改性椰壳活性炭+ 中效过滤段+ 溶液喷淋段；送风口端：配 HEPA（高效过滤器）。</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11</w:t>
      </w:r>
      <w:r>
        <w:rPr>
          <w:rFonts w:hint="eastAsia" w:ascii="仿宋" w:hAnsi="仿宋" w:eastAsia="仿宋" w:cs="仿宋"/>
          <w:b w:val="0"/>
          <w:bCs/>
          <w:color w:val="auto"/>
          <w:sz w:val="28"/>
          <w:szCs w:val="28"/>
          <w:highlight w:val="none"/>
          <w:lang w:eastAsia="zh-CN"/>
        </w:rPr>
        <w:t xml:space="preserve">）设备体积小，功耗小，安装方便，可安装在微环境基座，仅需一定通风要求。</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12</w:t>
      </w:r>
      <w:r>
        <w:rPr>
          <w:rFonts w:hint="eastAsia" w:ascii="仿宋" w:hAnsi="仿宋" w:eastAsia="仿宋" w:cs="仿宋"/>
          <w:b w:val="0"/>
          <w:bCs/>
          <w:color w:val="auto"/>
          <w:sz w:val="28"/>
          <w:szCs w:val="28"/>
          <w:highlight w:val="none"/>
          <w:lang w:eastAsia="zh-CN"/>
        </w:rPr>
        <w:t xml:space="preserve">）安全性能：</w:t>
      </w:r>
      <w:r>
        <w:rPr>
          <w:rFonts w:hint="eastAsia" w:ascii="仿宋" w:hAnsi="仿宋" w:eastAsia="仿宋" w:cs="仿宋"/>
          <w:b w:val="0"/>
          <w:bCs/>
          <w:color w:val="auto"/>
          <w:sz w:val="28"/>
          <w:szCs w:val="28"/>
          <w:highlight w:val="none"/>
          <w:lang w:val="en-US" w:eastAsia="zh-CN"/>
        </w:rPr>
        <w:t xml:space="preserve">恒湿设备安全性能</w:t>
      </w:r>
      <w:r>
        <w:rPr>
          <w:rFonts w:hint="eastAsia" w:ascii="仿宋" w:hAnsi="仿宋" w:eastAsia="仿宋" w:cs="仿宋"/>
          <w:b w:val="0"/>
          <w:bCs/>
          <w:color w:val="auto"/>
          <w:sz w:val="28"/>
          <w:szCs w:val="28"/>
          <w:highlight w:val="none"/>
          <w:lang w:eastAsia="zh-CN"/>
        </w:rPr>
        <w:t xml:space="preserve">应符合《中华人民共和国文物保护行业标准馆藏文物保存环境控制净化调湿装置》WW/T0096-2020要求。</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13</w:t>
      </w:r>
      <w:r>
        <w:rPr>
          <w:rFonts w:hint="eastAsia" w:ascii="仿宋" w:hAnsi="仿宋" w:eastAsia="仿宋" w:cs="仿宋"/>
          <w:b w:val="0"/>
          <w:bCs/>
          <w:color w:val="auto"/>
          <w:sz w:val="28"/>
          <w:szCs w:val="28"/>
          <w:highlight w:val="none"/>
          <w:lang w:eastAsia="zh-CN"/>
        </w:rPr>
        <w:t xml:space="preserve">）环境数据远程监测系统（平台），包括用于恒湿机及环境监测设备远程控制查询的无线终端，以及可视化操作系统（平台）一套。能够将数据传输到环境监测平台，便于集中管理。</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14</w:t>
      </w:r>
      <w:r>
        <w:rPr>
          <w:rFonts w:hint="eastAsia" w:ascii="仿宋" w:hAnsi="仿宋" w:eastAsia="仿宋" w:cs="仿宋"/>
          <w:b w:val="0"/>
          <w:bCs/>
          <w:color w:val="auto"/>
          <w:sz w:val="28"/>
          <w:szCs w:val="28"/>
          <w:highlight w:val="none"/>
          <w:lang w:eastAsia="zh-CN"/>
        </w:rPr>
        <w:t xml:space="preserve">）系统应具备良好的可视性与可操作性。具有数据记录功能，能够记录湿度、</w:t>
      </w:r>
      <w:r>
        <w:rPr>
          <w:rFonts w:hint="eastAsia" w:ascii="仿宋" w:hAnsi="仿宋" w:eastAsia="仿宋" w:cs="仿宋"/>
          <w:b w:val="0"/>
          <w:bCs/>
          <w:color w:val="auto"/>
          <w:sz w:val="28"/>
          <w:szCs w:val="28"/>
          <w:highlight w:val="none"/>
          <w:lang w:val="en-US" w:eastAsia="zh-CN"/>
        </w:rPr>
        <w:t xml:space="preserve">温度</w:t>
      </w:r>
      <w:r>
        <w:rPr>
          <w:rFonts w:hint="eastAsia" w:ascii="仿宋" w:hAnsi="仿宋" w:eastAsia="仿宋" w:cs="仿宋"/>
          <w:b w:val="0"/>
          <w:bCs/>
          <w:color w:val="auto"/>
          <w:sz w:val="28"/>
          <w:szCs w:val="28"/>
          <w:highlight w:val="none"/>
          <w:lang w:eastAsia="zh-CN"/>
        </w:rPr>
        <w:t xml:space="preserve">等运行数据，记录周期不少于一年，以便管理人员随时查阅和分析环境数据，为展品保护和设备维护提供依据。</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（六）</w:t>
      </w:r>
      <w:r>
        <w:rPr>
          <w:rFonts w:hint="eastAsia" w:ascii="仿宋" w:hAnsi="仿宋" w:eastAsia="仿宋" w:cs="仿宋"/>
          <w:b w:val="0"/>
          <w:bCs/>
          <w:color w:val="auto"/>
          <w:sz w:val="28"/>
          <w:szCs w:val="28"/>
        </w:rPr>
        <w:t xml:space="preserve">库房文物储藏柜架</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1 、节能恒湿储藏柜</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lang w:eastAsia="zh-CN"/>
        </w:rPr>
        <w:t xml:space="preserve">）规格：≥1200×800×1950mm。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lang w:eastAsia="zh-CN"/>
        </w:rPr>
        <w:t xml:space="preserve">）每层承重：≥100KG。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lang w:eastAsia="zh-CN"/>
        </w:rPr>
        <w:t xml:space="preserve">）产品材质：高承载钢制柜体、钢板厚度≥1mm。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（4）节能型恒湿储藏柜换气率：≤0.2次/天。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（5）调控方式：主被动调控（纤维调湿片+有源恒湿调控模块联动调控）。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6</w:t>
      </w:r>
      <w:r>
        <w:rPr>
          <w:rFonts w:hint="eastAsia" w:ascii="仿宋" w:hAnsi="仿宋" w:eastAsia="仿宋" w:cs="仿宋"/>
          <w:b w:val="0"/>
          <w:bCs/>
          <w:color w:val="auto"/>
          <w:sz w:val="28"/>
          <w:szCs w:val="28"/>
          <w:highlight w:val="none"/>
          <w:lang w:eastAsia="zh-CN"/>
        </w:rPr>
        <w:t xml:space="preserve">）使用环境：5～40℃/10～90%RH。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7</w:t>
      </w:r>
      <w:r>
        <w:rPr>
          <w:rFonts w:hint="eastAsia" w:ascii="仿宋" w:hAnsi="仿宋" w:eastAsia="仿宋" w:cs="仿宋"/>
          <w:b w:val="0"/>
          <w:bCs/>
          <w:color w:val="auto"/>
          <w:sz w:val="28"/>
          <w:szCs w:val="28"/>
          <w:highlight w:val="none"/>
          <w:lang w:eastAsia="zh-CN"/>
        </w:rPr>
        <w:t xml:space="preserve">）控湿范围：30%～70%RH范围内，可任意选定纤维调湿片调湿点。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8</w:t>
      </w:r>
      <w:r>
        <w:rPr>
          <w:rFonts w:hint="eastAsia" w:ascii="仿宋" w:hAnsi="仿宋" w:eastAsia="仿宋" w:cs="仿宋"/>
          <w:b w:val="0"/>
          <w:bCs/>
          <w:color w:val="auto"/>
          <w:sz w:val="28"/>
          <w:szCs w:val="28"/>
          <w:highlight w:val="none"/>
          <w:lang w:eastAsia="zh-CN"/>
        </w:rPr>
        <w:t xml:space="preserve">）控湿指标：控湿精度≤±3%。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9</w:t>
      </w:r>
      <w:r>
        <w:rPr>
          <w:rFonts w:hint="eastAsia" w:ascii="仿宋" w:hAnsi="仿宋" w:eastAsia="仿宋" w:cs="仿宋"/>
          <w:b w:val="0"/>
          <w:bCs/>
          <w:color w:val="auto"/>
          <w:sz w:val="28"/>
          <w:szCs w:val="28"/>
          <w:highlight w:val="none"/>
          <w:lang w:eastAsia="zh-CN"/>
        </w:rPr>
        <w:t xml:space="preserve">）节能率：≥50%（主被动调控节省能耗/主动调控能耗占比）。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10</w:t>
      </w:r>
      <w:r>
        <w:rPr>
          <w:rFonts w:hint="eastAsia" w:ascii="仿宋" w:hAnsi="仿宋" w:eastAsia="仿宋" w:cs="仿宋"/>
          <w:b w:val="0"/>
          <w:bCs/>
          <w:color w:val="auto"/>
          <w:sz w:val="28"/>
          <w:szCs w:val="28"/>
          <w:highlight w:val="none"/>
          <w:lang w:eastAsia="zh-CN"/>
        </w:rPr>
        <w:t xml:space="preserve">）断电恒湿：90天以上（库房标准环境，无开柜门，调控模块断电条件下）。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11</w:t>
      </w:r>
      <w:r>
        <w:rPr>
          <w:rFonts w:hint="eastAsia" w:ascii="仿宋" w:hAnsi="仿宋" w:eastAsia="仿宋" w:cs="仿宋"/>
          <w:b w:val="0"/>
          <w:bCs/>
          <w:color w:val="auto"/>
          <w:sz w:val="28"/>
          <w:szCs w:val="28"/>
          <w:highlight w:val="none"/>
          <w:lang w:eastAsia="zh-CN"/>
        </w:rPr>
        <w:t xml:space="preserve">）整机寿命：≥5年（调湿模块可逆活化纤维调湿片，延长纤维调湿片寿命）。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12</w:t>
      </w:r>
      <w:r>
        <w:rPr>
          <w:rFonts w:hint="eastAsia" w:ascii="仿宋" w:hAnsi="仿宋" w:eastAsia="仿宋" w:cs="仿宋"/>
          <w:b w:val="0"/>
          <w:bCs/>
          <w:color w:val="auto"/>
          <w:sz w:val="28"/>
          <w:szCs w:val="28"/>
          <w:highlight w:val="none"/>
          <w:lang w:eastAsia="zh-CN"/>
        </w:rPr>
        <w:t xml:space="preserve">）空气净化：尼龙网+长效HEPA+改性椰壳活性炭（复合滤网）。</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13</w:t>
      </w:r>
      <w:r>
        <w:rPr>
          <w:rFonts w:hint="eastAsia" w:ascii="仿宋" w:hAnsi="仿宋" w:eastAsia="仿宋" w:cs="仿宋"/>
          <w:b w:val="0"/>
          <w:bCs/>
          <w:color w:val="auto"/>
          <w:sz w:val="28"/>
          <w:szCs w:val="28"/>
          <w:highlight w:val="none"/>
          <w:lang w:eastAsia="zh-CN"/>
        </w:rPr>
        <w:t xml:space="preserve">）调湿模块：工业级半导体制冷除湿模块+长寿命金属湿网无雾加湿模块。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14</w:t>
      </w:r>
      <w:r>
        <w:rPr>
          <w:rFonts w:hint="eastAsia" w:ascii="仿宋" w:hAnsi="仿宋" w:eastAsia="仿宋" w:cs="仿宋"/>
          <w:b w:val="0"/>
          <w:bCs/>
          <w:color w:val="auto"/>
          <w:sz w:val="28"/>
          <w:szCs w:val="28"/>
          <w:highlight w:val="none"/>
          <w:lang w:eastAsia="zh-CN"/>
        </w:rPr>
        <w:t xml:space="preserve">）通讯方式：内置无线通讯模块，支持远程调控与管理。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15</w:t>
      </w:r>
      <w:r>
        <w:rPr>
          <w:rFonts w:hint="eastAsia" w:ascii="仿宋" w:hAnsi="仿宋" w:eastAsia="仿宋" w:cs="仿宋"/>
          <w:b w:val="0"/>
          <w:bCs/>
          <w:color w:val="auto"/>
          <w:sz w:val="28"/>
          <w:szCs w:val="28"/>
          <w:highlight w:val="none"/>
          <w:lang w:eastAsia="zh-CN"/>
        </w:rPr>
        <w:t xml:space="preserve">）供电：DC12V/12A（标配电源适配器：220V/50HzAC输入,DC12V/15A输出）。 </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16</w:t>
      </w:r>
      <w:r>
        <w:rPr>
          <w:rFonts w:hint="eastAsia" w:ascii="仿宋" w:hAnsi="仿宋" w:eastAsia="仿宋" w:cs="仿宋"/>
          <w:b w:val="0"/>
          <w:bCs/>
          <w:color w:val="auto"/>
          <w:sz w:val="28"/>
          <w:szCs w:val="28"/>
          <w:highlight w:val="none"/>
          <w:lang w:eastAsia="zh-CN"/>
        </w:rPr>
        <w:t xml:space="preserve">）功耗：额定功率≤130W；平均待机功耗2.4W。</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17</w:t>
      </w:r>
      <w:r>
        <w:rPr>
          <w:rFonts w:hint="eastAsia" w:ascii="仿宋" w:hAnsi="仿宋" w:eastAsia="仿宋" w:cs="仿宋"/>
          <w:b w:val="0"/>
          <w:bCs/>
          <w:color w:val="auto"/>
          <w:sz w:val="28"/>
          <w:szCs w:val="28"/>
          <w:highlight w:val="none"/>
          <w:lang w:eastAsia="zh-CN"/>
        </w:rPr>
        <w:t xml:space="preserve">）柜内控制系统：能支持数据上传至环境监测系统软件平台。</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lang w:eastAsia="zh-CN"/>
        </w:rPr>
        <w:t xml:space="preserve">8）能耗表现：全热回收效率60%以上。</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lang w:eastAsia="zh-CN"/>
        </w:rPr>
        <w:t xml:space="preserve">9）全新风处理，新风过滤装置采用效果好、无耗材的溶液过滤技术方案。</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lang w:eastAsia="zh-CN"/>
        </w:rPr>
        <w:t xml:space="preserve">0）空气净化方式：机组内：尼龙网+ 初效过滤器+ 改性椰壳活性炭+ 中效过滤段+ 溶液喷淋段；送风口端：配 HEPA（高效过滤器）。</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2 、恒温恒湿储藏柜</w:t>
      </w:r>
      <w:r/>
    </w:p>
    <w:p>
      <w:pPr>
        <w:ind w:firstLine="560"/>
        <w:keepLines w:val="0"/>
        <w:keepNext w:val="0"/>
        <w:pageBreakBefore w:val="0"/>
        <w:spacing w:line="520" w:lineRule="exact"/>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规格：</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rPr>
        <w:t xml:space="preserve">1200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800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1950mm</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材料：材质采用厚度≥1mm优质冷轧钢，每层承重≥50KG</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结构：标准款为6层层板式</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密封性能：</w:t>
      </w:r>
      <w:r>
        <w:rPr>
          <w:rFonts w:hint="eastAsia" w:ascii="仿宋" w:hAnsi="仿宋" w:eastAsia="仿宋" w:cs="仿宋"/>
          <w:bCs/>
          <w:color w:val="auto"/>
          <w:sz w:val="28"/>
          <w:szCs w:val="28"/>
          <w:lang w:eastAsia="zh-CN"/>
        </w:rPr>
        <w:t xml:space="preserve">具有良好的密封性，</w:t>
      </w:r>
      <w:r>
        <w:rPr>
          <w:rFonts w:hint="eastAsia" w:ascii="仿宋" w:hAnsi="仿宋" w:eastAsia="仿宋" w:cs="仿宋"/>
          <w:b w:val="0"/>
          <w:bCs/>
          <w:color w:val="auto"/>
          <w:sz w:val="28"/>
          <w:szCs w:val="28"/>
          <w:lang w:eastAsia="zh-CN"/>
        </w:rPr>
        <w:t xml:space="preserve">柜体换气率≤</w:t>
      </w:r>
      <w:r>
        <w:rPr>
          <w:rFonts w:hint="eastAsia" w:ascii="仿宋" w:hAnsi="仿宋" w:eastAsia="仿宋" w:cs="仿宋"/>
          <w:b w:val="0"/>
          <w:bCs/>
          <w:color w:val="auto"/>
          <w:sz w:val="28"/>
          <w:szCs w:val="28"/>
          <w:lang w:val="en-US" w:eastAsia="zh-CN"/>
        </w:rPr>
        <w:t xml:space="preserve">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d-1。</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柜内温度控制范围：15℃～30℃</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6</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柜内湿度控制范围：40%RH～70%RH</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7</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温度控制稳定性：温度值±2℃</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8</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湿度控制稳定性：湿度值±3%RH</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9</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加湿水箱：水箱容积不小于3L，带液位指示，带液位开关，手动加水</w:t>
      </w:r>
      <w:r>
        <w:rPr>
          <w:rFonts w:hint="eastAsia" w:ascii="仿宋" w:hAnsi="仿宋" w:eastAsia="仿宋" w:cs="仿宋"/>
          <w:b w:val="0"/>
          <w:bCs/>
          <w:color w:val="auto"/>
          <w:sz w:val="28"/>
          <w:szCs w:val="28"/>
          <w:lang w:eastAsia="zh-CN"/>
        </w:rPr>
        <w:t xml:space="preserve">。</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highlight w:val="none"/>
          <w:lang w:eastAsia="zh-CN"/>
        </w:rPr>
        <w:t xml:space="preserve">能耗表现：全热回收效率60%以上。</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11</w:t>
      </w:r>
      <w:r>
        <w:rPr>
          <w:rFonts w:hint="eastAsia" w:ascii="仿宋" w:hAnsi="仿宋" w:eastAsia="仿宋" w:cs="仿宋"/>
          <w:b w:val="0"/>
          <w:bCs/>
          <w:color w:val="auto"/>
          <w:sz w:val="28"/>
          <w:szCs w:val="28"/>
          <w:highlight w:val="none"/>
          <w:lang w:eastAsia="zh-CN"/>
        </w:rPr>
        <w:t xml:space="preserve">）全新风处理，新风过滤装置采用效果好、无耗材的溶液过滤技术方案。</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12</w:t>
      </w:r>
      <w:r>
        <w:rPr>
          <w:rFonts w:hint="eastAsia" w:ascii="仿宋" w:hAnsi="仿宋" w:eastAsia="仿宋" w:cs="仿宋"/>
          <w:b w:val="0"/>
          <w:bCs/>
          <w:color w:val="auto"/>
          <w:sz w:val="28"/>
          <w:szCs w:val="28"/>
          <w:highlight w:val="none"/>
          <w:lang w:eastAsia="zh-CN"/>
        </w:rPr>
        <w:t xml:space="preserve">）空气净化方式：机组内：尼龙网+ 初效过滤器+ 改性椰壳活性炭+ 中效过滤段+ 溶液喷淋段；送风口端：配 HEPA（高效过滤器）。</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通讯功能：支持以太网、MQTTDTU方式组网</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远程诊断：具有设备自检和远程诊断功能</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保护功能：电路过载保护、短路保护、漏电保护；制冷系统具有制冷剂高压保护、低压保护功能，压缩机具有过热保护功能；恒温PTC加热器具有过温、过流保护功能；加湿水箱缺水、满水保护功能；柜内湿度超标警示和保护功能；故障报警和维护保养提示功能</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16</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噪音：正前方1m处运转噪音≤50dB(A)，消音室环境下测量</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17</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柜内控制系统：能支持数据上传至环境监测系统软件平台，便于集中管理。</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3 、低氧恒湿储藏柜</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规格：</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rPr>
        <w:t xml:space="preserve">1400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800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1950mm。</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工作环境条件</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环境温度：10℃～30℃；环境湿度：≤80%RH；大气压力：80kPa～106kPa；机械环境：无显著振动和冲击的场合</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柜内容积：≥1.2m³</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密封性能：</w:t>
      </w:r>
      <w:r>
        <w:rPr>
          <w:rFonts w:hint="eastAsia" w:ascii="仿宋" w:hAnsi="仿宋" w:eastAsia="仿宋" w:cs="仿宋"/>
          <w:b w:val="0"/>
          <w:bCs/>
          <w:color w:val="auto"/>
          <w:sz w:val="28"/>
          <w:szCs w:val="28"/>
          <w:lang w:eastAsia="zh-CN"/>
        </w:rPr>
        <w:t xml:space="preserve">具有良好的密封性，柜体换气率≤</w:t>
      </w:r>
      <w:r>
        <w:rPr>
          <w:rFonts w:hint="eastAsia" w:ascii="仿宋" w:hAnsi="仿宋" w:eastAsia="仿宋" w:cs="仿宋"/>
          <w:b w:val="0"/>
          <w:bCs/>
          <w:color w:val="auto"/>
          <w:sz w:val="28"/>
          <w:szCs w:val="28"/>
          <w:lang w:val="en-US" w:eastAsia="zh-CN"/>
        </w:rPr>
        <w:t xml:space="preserve">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d-1。</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供氮流量：5L/min</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6</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氮气纯度额定工况下，最高纯度99.9%</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7</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氧含量控制范围：1%～21%</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8</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相对湿度控制范围：10%RH～80%RH（环境温度：20℃）</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9</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湿度控制稳定性：设定湿度值±2.5%RH</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柜内环境洁净度能有效滤除空气中氧气、有害气体、粉尘颗粒物、霉菌孢子、虫卵等</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气流净化方式：制氮系统吸附及过滤</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温度测温范围：-20℃～70℃</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温度测温精度：±0.3℃</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湿度测湿范围：0～100%RH</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湿度测湿精度：±2%RH</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16</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除湿方式：充氮除湿</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17</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加湿方式：等焓加湿</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18</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加湿水箱：水箱内容积10L，带液位指示及液位开关，手动加水</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19</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噪音：正前方1m处运转噪音50dB(A)，消音室环境下测量</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电源：AC220V±10%/1相/50Hz±2Hz</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消耗功率：550W</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控制系统 </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PLC+7英寸触摸屏；控制屏显示湿度、氧含量等参数，具有设定、手动操作、储存、查询、曲线和导出功能；具有设备故障报警、维护保养提示以及安全保护报警功能</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结构形式：低氧储藏柜+制氮恒湿一体机（内置）</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尺寸：制氮恒湿一体机：≤840mm×600mm×575mm</w:t>
      </w:r>
      <w:r>
        <w:rPr>
          <w:rFonts w:hint="eastAsia" w:ascii="仿宋" w:hAnsi="仿宋" w:eastAsia="仿宋" w:cs="仿宋"/>
          <w:b w:val="0"/>
          <w:bCs/>
          <w:color w:val="auto"/>
          <w:sz w:val="28"/>
          <w:szCs w:val="28"/>
          <w:lang w:eastAsia="zh-CN"/>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柜内控制系统：能支持数据上传至环境监测系统软件平台。</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4 、隔板式恒湿储藏柜</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规格：</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rPr>
        <w:t xml:space="preserve">1200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800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1950mm。</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材料：高承载钢制柜体，钢板厚度不小于1.0mm；</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隔板层数根据需要设定，每层隔板高度可自动调整；标准4层；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上下分体式设计，同时保证良好的密封性。整体方便活动搬移，柜体底部采用优质钢制滚轮，经久耐用；</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喷漆：静电喷涂，采用优质环保漆，长时间使用（十年内）不泛黄；</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6</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锁具：采用优质锁具，坚固耐用，长时间使用（十年内）锁具及钥匙不变形；</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7</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所用焊件牢固，焊痕光滑、平整。各零件、组合件表面光滑、平整、无尖角、突起，无裂痕伤痕；</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8</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密封性能：</w:t>
      </w:r>
      <w:r>
        <w:rPr>
          <w:rFonts w:hint="eastAsia" w:ascii="仿宋" w:hAnsi="仿宋" w:eastAsia="仿宋" w:cs="仿宋"/>
          <w:b w:val="0"/>
          <w:bCs/>
          <w:color w:val="auto"/>
          <w:sz w:val="28"/>
          <w:szCs w:val="28"/>
          <w:lang w:eastAsia="zh-CN"/>
        </w:rPr>
        <w:t xml:space="preserve">具有良好的密封性，柜体换气率≤</w:t>
      </w:r>
      <w:r>
        <w:rPr>
          <w:rFonts w:hint="eastAsia" w:ascii="仿宋" w:hAnsi="仿宋" w:eastAsia="仿宋" w:cs="仿宋"/>
          <w:b w:val="0"/>
          <w:bCs/>
          <w:color w:val="auto"/>
          <w:sz w:val="28"/>
          <w:szCs w:val="28"/>
          <w:lang w:val="en-US" w:eastAsia="zh-CN"/>
        </w:rPr>
        <w:t xml:space="preserve">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d-1。</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val="en-US" w:eastAsia="zh-CN"/>
        </w:rPr>
        <w:tab/>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9</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控湿范围：25%RH-70%RH；</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控湿精度：±3%RH；</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11</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使用电源：220VAC,50HZ,1A；</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12</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消耗功率：最大:200W/平均:60W；</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13</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为方便日常使用与观察，正面嵌入彩色显示屏，显示恒湿机工作状态、实际测量温湿度、设置目标湿度等信息。</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14</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免补水功能：适宜外界环境湿度下，将除湿的冷凝水进行过滤、净化，自动收集至内置水箱，补充恒湿机内液位，为加湿功能提供水源，无须人工加（补）水；水箱水满后，停止补水，将冷凝水挥发到空气中，无须人工排（倒）水。</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15</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柜内控制系统：能支持数据上传至环境监测系统软件平台。</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5 、抽屉式恒湿储藏柜</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lang w:eastAsia="zh-CN"/>
        </w:rPr>
        <w:t xml:space="preserve">）规格：</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lang w:eastAsia="zh-CN"/>
        </w:rPr>
        <w:t xml:space="preserve">1200×800×1950mm；</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lang w:eastAsia="zh-CN"/>
        </w:rPr>
        <w:t xml:space="preserve">）材料：高承载钢制柜体，钢板厚度不小于1.0mm；</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lang w:eastAsia="zh-CN"/>
        </w:rPr>
        <w:t xml:space="preserve">）抽屉层数：10抽；</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b w:val="0"/>
          <w:bCs/>
          <w:color w:val="auto"/>
          <w:sz w:val="28"/>
          <w:szCs w:val="28"/>
          <w:lang w:eastAsia="zh-CN"/>
        </w:rPr>
        <w:t xml:space="preserve">）上下分体式设计，同时保证良好的密封性。整体方便活动搬移，柜体底部采用钢制滚轮，经久耐用。</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）喷漆：静电喷涂，采用环保漆，长时间使用（十年内）不泛黄。</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6</w:t>
      </w:r>
      <w:r>
        <w:rPr>
          <w:rFonts w:hint="eastAsia" w:ascii="仿宋" w:hAnsi="仿宋" w:eastAsia="仿宋" w:cs="仿宋"/>
          <w:b w:val="0"/>
          <w:bCs/>
          <w:color w:val="auto"/>
          <w:sz w:val="28"/>
          <w:szCs w:val="28"/>
          <w:lang w:eastAsia="zh-CN"/>
        </w:rPr>
        <w:t xml:space="preserve">）锁具：坚固耐用，长时间使用（十年内）锁具及钥匙不变形。</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7</w:t>
      </w:r>
      <w:r>
        <w:rPr>
          <w:rFonts w:hint="eastAsia" w:ascii="仿宋" w:hAnsi="仿宋" w:eastAsia="仿宋" w:cs="仿宋"/>
          <w:b w:val="0"/>
          <w:bCs/>
          <w:color w:val="auto"/>
          <w:sz w:val="28"/>
          <w:szCs w:val="28"/>
          <w:lang w:eastAsia="zh-CN"/>
        </w:rPr>
        <w:t xml:space="preserve">）所用焊件牢固，焊痕光滑、平整。各零件、组合件表面光滑、平整、无尖角、突起，无裂痕伤痕。</w:t>
      </w:r>
      <w:r/>
    </w:p>
    <w:p>
      <w:pPr>
        <w:ind w:left="0" w:right="0" w:firstLine="560"/>
        <w:jc w:val="left"/>
        <w:keepLines w:val="0"/>
        <w:keepNext w:val="0"/>
        <w:pageBreakBefore w:val="0"/>
        <w:spacing w:beforeAutospacing="0" w:afterAutospacing="0" w:line="520" w:lineRule="exact"/>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8</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密封性能：</w:t>
      </w:r>
      <w:r>
        <w:rPr>
          <w:rFonts w:hint="eastAsia" w:ascii="仿宋" w:hAnsi="仿宋" w:eastAsia="仿宋" w:cs="仿宋"/>
          <w:bCs/>
          <w:color w:val="auto"/>
          <w:sz w:val="28"/>
          <w:szCs w:val="28"/>
          <w:lang w:eastAsia="zh-CN"/>
        </w:rPr>
        <w:t xml:space="preserve">具有良好的密封性，</w:t>
      </w:r>
      <w:r>
        <w:rPr>
          <w:rFonts w:hint="eastAsia" w:ascii="仿宋" w:hAnsi="仿宋" w:eastAsia="仿宋" w:cs="仿宋"/>
          <w:b w:val="0"/>
          <w:bCs/>
          <w:color w:val="auto"/>
          <w:sz w:val="28"/>
          <w:szCs w:val="28"/>
          <w:lang w:eastAsia="zh-CN"/>
        </w:rPr>
        <w:t xml:space="preserve">柜体换气率≤</w:t>
      </w:r>
      <w:r>
        <w:rPr>
          <w:rFonts w:hint="eastAsia" w:ascii="仿宋" w:hAnsi="仿宋" w:eastAsia="仿宋" w:cs="仿宋"/>
          <w:b w:val="0"/>
          <w:bCs/>
          <w:color w:val="auto"/>
          <w:sz w:val="28"/>
          <w:szCs w:val="28"/>
          <w:lang w:val="en-US" w:eastAsia="zh-CN"/>
        </w:rPr>
        <w:t xml:space="preserve">0</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lang w:eastAsia="zh-CN"/>
        </w:rPr>
        <w:t xml:space="preserve">d-1。</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z w:val="28"/>
          <w:szCs w:val="28"/>
          <w:lang w:eastAsia="zh-CN"/>
        </w:rPr>
        <w:t xml:space="preserve">投标时提供第三方检测机构出具的加盖CMA标注的检测报告</w:t>
      </w:r>
      <w:r>
        <w:rPr>
          <w:rFonts w:hint="eastAsia" w:ascii="仿宋" w:hAnsi="仿宋" w:eastAsia="仿宋" w:cs="仿宋"/>
          <w:bCs/>
          <w:color w:val="auto"/>
          <w:sz w:val="28"/>
          <w:szCs w:val="28"/>
          <w:highlight w:val="none"/>
          <w:lang w:val="en-US" w:eastAsia="zh-CN"/>
        </w:rPr>
        <w:t xml:space="preserve">扫描件加盖投标人电子签章</w:t>
      </w:r>
      <w:r>
        <w:rPr>
          <w:rFonts w:hint="eastAsia" w:ascii="仿宋" w:hAnsi="仿宋" w:eastAsia="仿宋" w:cs="仿宋"/>
          <w:b w:val="0"/>
          <w:bCs/>
          <w:color w:val="auto"/>
          <w:sz w:val="28"/>
          <w:szCs w:val="28"/>
        </w:rPr>
        <w:t xml:space="preserve">，未提供或内容不满足要求的视为负偏离</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9</w:t>
      </w:r>
      <w:r>
        <w:rPr>
          <w:rFonts w:hint="eastAsia" w:ascii="仿宋" w:hAnsi="仿宋" w:eastAsia="仿宋" w:cs="仿宋"/>
          <w:b w:val="0"/>
          <w:bCs/>
          <w:color w:val="auto"/>
          <w:sz w:val="28"/>
          <w:szCs w:val="28"/>
          <w:lang w:eastAsia="zh-CN"/>
        </w:rPr>
        <w:t xml:space="preserve">）控湿范围：25%RH-70%RH。</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10</w:t>
      </w:r>
      <w:r>
        <w:rPr>
          <w:rFonts w:hint="eastAsia" w:ascii="仿宋" w:hAnsi="仿宋" w:eastAsia="仿宋" w:cs="仿宋"/>
          <w:b w:val="0"/>
          <w:bCs/>
          <w:color w:val="auto"/>
          <w:sz w:val="28"/>
          <w:szCs w:val="28"/>
          <w:lang w:eastAsia="zh-CN"/>
        </w:rPr>
        <w:t xml:space="preserve">）日波动范围：±3%RH。</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11</w:t>
      </w:r>
      <w:r>
        <w:rPr>
          <w:rFonts w:hint="eastAsia" w:ascii="仿宋" w:hAnsi="仿宋" w:eastAsia="仿宋" w:cs="仿宋"/>
          <w:b w:val="0"/>
          <w:bCs/>
          <w:color w:val="auto"/>
          <w:sz w:val="28"/>
          <w:szCs w:val="28"/>
          <w:lang w:eastAsia="zh-CN"/>
        </w:rPr>
        <w:t xml:space="preserve">）使用电源：220VAC,50HZ,1A。</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12</w:t>
      </w:r>
      <w:r>
        <w:rPr>
          <w:rFonts w:hint="eastAsia" w:ascii="仿宋" w:hAnsi="仿宋" w:eastAsia="仿宋" w:cs="仿宋"/>
          <w:b w:val="0"/>
          <w:bCs/>
          <w:color w:val="auto"/>
          <w:sz w:val="28"/>
          <w:szCs w:val="28"/>
          <w:lang w:eastAsia="zh-CN"/>
        </w:rPr>
        <w:t xml:space="preserve">）消耗功率：最大:200W/平均:60W。</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13</w:t>
      </w:r>
      <w:r>
        <w:rPr>
          <w:rFonts w:hint="eastAsia" w:ascii="仿宋" w:hAnsi="仿宋" w:eastAsia="仿宋" w:cs="仿宋"/>
          <w:b w:val="0"/>
          <w:bCs/>
          <w:color w:val="auto"/>
          <w:sz w:val="28"/>
          <w:szCs w:val="28"/>
          <w:lang w:eastAsia="zh-CN"/>
        </w:rPr>
        <w:t xml:space="preserve">）为方便日常使用与观察，正面嵌入彩色显示屏，显示恒湿机工作状态、实际测量温湿度、设置目标湿度等信息。</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14</w:t>
      </w:r>
      <w:r>
        <w:rPr>
          <w:rFonts w:hint="eastAsia" w:ascii="仿宋" w:hAnsi="仿宋" w:eastAsia="仿宋" w:cs="仿宋"/>
          <w:b w:val="0"/>
          <w:bCs/>
          <w:color w:val="auto"/>
          <w:sz w:val="28"/>
          <w:szCs w:val="28"/>
          <w:lang w:eastAsia="zh-CN"/>
        </w:rPr>
        <w:t xml:space="preserve">）免补水功能：适宜外界环境湿度下，将除湿的冷凝水进行过滤、净化， 自动收集至内置水箱，补充恒湿机内液位，为加湿功能提供水源，无须人工加（补） 水；水箱水满后，停止补水，将冷凝水挥发到空气中，无须人工排（倒）水。</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15</w:t>
      </w:r>
      <w:r>
        <w:rPr>
          <w:rFonts w:hint="eastAsia" w:ascii="仿宋" w:hAnsi="仿宋" w:eastAsia="仿宋" w:cs="仿宋"/>
          <w:b w:val="0"/>
          <w:bCs/>
          <w:color w:val="auto"/>
          <w:sz w:val="28"/>
          <w:szCs w:val="28"/>
          <w:highlight w:val="none"/>
          <w:lang w:eastAsia="zh-CN"/>
        </w:rPr>
        <w:t xml:space="preserve">）能耗表现：全热回收效率60%以上。</w:t>
      </w:r>
      <w:r/>
    </w:p>
    <w:p>
      <w:pPr>
        <w:ind w:firstLine="560"/>
        <w:keepLines w:val="0"/>
        <w:keepNext w:val="0"/>
        <w:pageBreakBefore w:val="0"/>
        <w:spacing w:line="520" w:lineRule="exact"/>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16</w:t>
      </w:r>
      <w:r>
        <w:rPr>
          <w:rFonts w:hint="eastAsia" w:ascii="仿宋" w:hAnsi="仿宋" w:eastAsia="仿宋" w:cs="仿宋"/>
          <w:b w:val="0"/>
          <w:bCs/>
          <w:color w:val="auto"/>
          <w:sz w:val="28"/>
          <w:szCs w:val="28"/>
          <w:highlight w:val="none"/>
          <w:lang w:eastAsia="zh-CN"/>
        </w:rPr>
        <w:t xml:space="preserve">）全新风处理，新风过滤装置采用效果好、无耗材的溶液过滤技术方案。</w:t>
      </w:r>
      <w:r/>
    </w:p>
    <w:p>
      <w:pPr>
        <w:ind w:firstLine="560"/>
        <w:keepLines w:val="0"/>
        <w:keepNext w:val="0"/>
        <w:pageBreakBefore w:val="0"/>
        <w:spacing w:line="520" w:lineRule="exact"/>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17</w:t>
      </w:r>
      <w:r>
        <w:rPr>
          <w:rFonts w:hint="eastAsia" w:ascii="仿宋" w:hAnsi="仿宋" w:eastAsia="仿宋" w:cs="仿宋"/>
          <w:b w:val="0"/>
          <w:bCs/>
          <w:color w:val="auto"/>
          <w:sz w:val="28"/>
          <w:szCs w:val="28"/>
          <w:highlight w:val="none"/>
          <w:lang w:eastAsia="zh-CN"/>
        </w:rPr>
        <w:t xml:space="preserve">）空气净化方式：机组内：尼龙网+ 初效过滤器+ 改性椰壳活性炭+ 中效过滤段+ 溶液喷淋段；送风口端：配 HEPA（高效过滤器）。</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18</w:t>
      </w:r>
      <w:r>
        <w:rPr>
          <w:rFonts w:hint="eastAsia" w:ascii="仿宋" w:hAnsi="仿宋" w:eastAsia="仿宋" w:cs="仿宋"/>
          <w:b w:val="0"/>
          <w:bCs/>
          <w:color w:val="auto"/>
          <w:sz w:val="28"/>
          <w:szCs w:val="28"/>
          <w:lang w:eastAsia="zh-CN"/>
        </w:rPr>
        <w:t xml:space="preserve">）柜内控制系统：能支持数据上传至环境监测系统软件平台。</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七</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文物囊匣</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1、</w:t>
      </w:r>
      <w:r>
        <w:rPr>
          <w:rFonts w:hint="eastAsia" w:ascii="仿宋" w:hAnsi="仿宋" w:eastAsia="仿宋" w:cs="仿宋"/>
          <w:b w:val="0"/>
          <w:bCs/>
          <w:color w:val="auto"/>
          <w:sz w:val="28"/>
          <w:szCs w:val="28"/>
        </w:rPr>
        <w:t xml:space="preserve">规格：根据文物尺寸定制</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囊匣采用三层材质，外层为硬度较高的木质层(奥松板)加环保布料或纤维材质或直接无酸纸(根据实际情况而定),保证囊匣的硬度，同时，内层采用无酸瓦楞纸板，保证内部环境的无酸，兼具硬度和无酸性，内囊与文物充分填充，更好的保护囊匣内文物的安全。</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rPr>
        <w:t xml:space="preserve">囊匣木质外层采用优质奥松板，内部结合强度高，硬度大，不易变形；采用环保材料，奥松板符合E1级标准，奥松板甲醛释放量≤0.124mg/m³。</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b w:val="0"/>
          <w:bCs/>
          <w:color w:val="auto"/>
          <w:sz w:val="28"/>
          <w:szCs w:val="28"/>
        </w:rPr>
        <w:t xml:space="preserve">无酸纸材料由100%纯木浆或棉浆制成，不含回收浆；金属离子含量(铜离子、铁离子)总含量不高于50mg/kg;木质素卡伯值不超过5;无缓冲剂的无酸纸板的pH值为7.0～7.5;带缓冲剂的无酸纸板的pH值为8.0-9.5或中性；带缓冲剂的无酸纸板/纸的碱性缓冲剂含量在2%～5%之间(以CaC03计);不含硫化物；不含荧光增白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b w:val="0"/>
          <w:bCs/>
          <w:color w:val="auto"/>
          <w:sz w:val="28"/>
          <w:szCs w:val="28"/>
        </w:rPr>
        <w:t xml:space="preserve">内囊：应采用质地柔软、富有弹性、不易老化、变形，且无污染、不释放有害物质的馆藏文物保护适用材料作为盒内填充与缓冲材料。应由优质EPE(聚乙烯)发泡材料、丙纶(聚丙烯)丝绵和腈纶(聚丙烯腈纤维)棉三种材料组成。EPE厚度需≥10毫米，丙纶、腈纶棉要有一定厚度并外加无酸纸包装，确实起到EPE硬度的缓冲作用。</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 xml:space="preserve">6、</w:t>
      </w:r>
      <w:r>
        <w:rPr>
          <w:rFonts w:hint="eastAsia" w:ascii="仿宋" w:hAnsi="仿宋" w:eastAsia="仿宋" w:cs="仿宋"/>
          <w:b w:val="0"/>
          <w:bCs/>
          <w:color w:val="auto"/>
          <w:sz w:val="28"/>
          <w:szCs w:val="28"/>
        </w:rPr>
        <w:t xml:space="preserve">固定材料：应尽量避免使用胶粘剂。若使用，须为无酸胶粘剂，胶粘剂中不能含有塑化剂、硫化物、铜离子、铁离子、氧化剂等物质。不引起长霉、发黄、变色、分层等。若使用胶带，应为无酸性，不腐蚀被粘物，不脱胶、溢胶，黏性持久不发黄变质。</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lang w:eastAsia="zh-CN"/>
        </w:rPr>
      </w:pPr>
      <w:r>
        <w:rPr>
          <w:rFonts w:hint="eastAsia" w:ascii="仿宋" w:hAnsi="仿宋" w:eastAsia="仿宋" w:cs="仿宋"/>
          <w:b w:val="0"/>
          <w:bCs/>
          <w:color w:val="auto"/>
          <w:sz w:val="28"/>
          <w:szCs w:val="28"/>
          <w:lang w:val="en-US" w:eastAsia="zh-CN"/>
        </w:rPr>
        <w:t xml:space="preserve">7、</w:t>
      </w:r>
      <w:r>
        <w:rPr>
          <w:rFonts w:hint="eastAsia" w:ascii="仿宋" w:hAnsi="仿宋" w:eastAsia="仿宋" w:cs="仿宋"/>
          <w:b w:val="0"/>
          <w:bCs/>
          <w:color w:val="auto"/>
          <w:sz w:val="28"/>
          <w:szCs w:val="28"/>
        </w:rPr>
        <w:t xml:space="preserve">配件：配件坚固耐用，使用环保材料。囊匣所用提扣、旋扣、信息卡、包角和胶条不含塑化剂</w:t>
      </w:r>
      <w:r>
        <w:rPr>
          <w:rFonts w:hint="eastAsia" w:ascii="仿宋" w:hAnsi="仿宋" w:eastAsia="仿宋" w:cs="仿宋"/>
          <w:b w:val="0"/>
          <w:bCs/>
          <w:color w:val="auto"/>
          <w:sz w:val="28"/>
          <w:szCs w:val="28"/>
          <w:lang w:eastAsia="zh-CN"/>
        </w:rPr>
        <w:t xml:space="preserve">。</w:t>
      </w:r>
      <w:r/>
    </w:p>
    <w:p>
      <w:pPr>
        <w:pStyle w:val="924"/>
        <w:numPr>
          <w:ilvl w:val="0"/>
          <w:numId w:val="0"/>
        </w:numPr>
        <w:ind w:right="0"/>
        <w:jc w:val="left"/>
        <w:keepLines w:val="0"/>
        <w:keepNext w:val="0"/>
        <w:pageBreakBefore w:val="0"/>
        <w:spacing w:beforeAutospacing="0" w:afterAutospacing="0" w:line="52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lang w:val="en-US" w:eastAsia="zh-CN"/>
        </w:rPr>
        <w:t xml:space="preserve">三、展</w:t>
      </w:r>
      <w:r>
        <w:rPr>
          <w:rFonts w:hint="eastAsia" w:ascii="仿宋" w:hAnsi="仿宋" w:eastAsia="仿宋" w:cs="仿宋"/>
          <w:b/>
          <w:bCs/>
          <w:color w:val="auto"/>
          <w:sz w:val="28"/>
          <w:szCs w:val="28"/>
          <w:highlight w:val="none"/>
          <w:lang w:val="en-US" w:eastAsia="zh-CN"/>
        </w:rPr>
        <w:t xml:space="preserve">柜及配套拆除及展厅修复安装</w:t>
      </w:r>
      <w:r>
        <w:rPr>
          <w:rFonts w:hint="eastAsia" w:ascii="仿宋" w:hAnsi="仿宋" w:eastAsia="仿宋" w:cs="仿宋"/>
          <w:b/>
          <w:bCs/>
          <w:color w:val="auto"/>
          <w:sz w:val="28"/>
          <w:szCs w:val="28"/>
          <w:highlight w:val="none"/>
        </w:rPr>
        <w:t xml:space="preserve">要求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中标单位须根据采购人要求对展厅部分展柜及配套实施进行拆除，此工程量包含采购人指定第二、第四层展厅展柜拆砸,墙面、顶棚拆除等施工内容；同时根据采购人要求对拆除部分进行复原安装，具体工程量以设计图纸为准，拆除修复方案待中标单位确认后方可实施。投标人在报价时需综合考虑拆旧及安装时可能对展厅造成的吊顶、地面、电路等造成的破坏进行的修复费用，采购人后期不再对此项增加任何费用。</w:t>
      </w:r>
      <w:r/>
    </w:p>
    <w:p>
      <w:pPr>
        <w:pStyle w:val="924"/>
        <w:ind w:right="0"/>
        <w:jc w:val="left"/>
        <w:keepLines w:val="0"/>
        <w:keepNext w:val="0"/>
        <w:pageBreakBefore w:val="0"/>
        <w:spacing w:beforeAutospacing="0" w:afterAutospacing="0" w:line="520" w:lineRule="exact"/>
        <w:widowControl/>
        <w:rPr>
          <w:rFonts w:hint="eastAsia" w:ascii="仿宋" w:hAnsi="仿宋" w:eastAsia="仿宋" w:cs="仿宋"/>
          <w:color w:val="auto"/>
          <w:sz w:val="28"/>
          <w:szCs w:val="28"/>
          <w:lang w:val="en-US" w:eastAsia="zh-CN"/>
        </w:rPr>
      </w:pPr>
      <w:r>
        <w:rPr>
          <w:rFonts w:hint="eastAsia" w:ascii="仿宋" w:hAnsi="仿宋" w:eastAsia="仿宋" w:cs="仿宋"/>
          <w:b/>
          <w:color w:val="auto"/>
          <w:sz w:val="28"/>
          <w:szCs w:val="28"/>
          <w:lang w:val="en-US" w:eastAsia="zh-CN"/>
        </w:rPr>
        <w:t xml:space="preserve">四</w:t>
      </w:r>
      <w:r>
        <w:rPr>
          <w:rFonts w:hint="eastAsia" w:ascii="仿宋" w:hAnsi="仿宋" w:eastAsia="仿宋" w:cs="仿宋"/>
          <w:b/>
          <w:color w:val="auto"/>
          <w:sz w:val="28"/>
          <w:szCs w:val="28"/>
        </w:rPr>
        <w:t xml:space="preserve">、采购项目商务要</w:t>
      </w:r>
      <w:r>
        <w:rPr>
          <w:rFonts w:hint="eastAsia" w:ascii="仿宋" w:hAnsi="仿宋" w:eastAsia="仿宋" w:cs="仿宋"/>
          <w:b/>
          <w:color w:val="auto"/>
          <w:sz w:val="28"/>
          <w:szCs w:val="28"/>
          <w:lang w:val="en-US" w:eastAsia="zh-CN"/>
        </w:rPr>
        <w:t xml:space="preserve">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1、验收要求：</w:t>
      </w:r>
      <w:r/>
    </w:p>
    <w:p>
      <w:pPr>
        <w:pStyle w:val="924"/>
        <w:numPr>
          <w:ilvl w:val="0"/>
          <w:numId w:val="0"/>
        </w:numPr>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（1）验收标准：采购文件、投标文件、供货合同、国家相关产品/安装、维修质量标准（以标准高的为准）。验收未达标准，中标供应商应按采购人要求限期整改。</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（2）验收时间：货物运送到采购人指定地点并安装调试完成后，连续使用10个工作日后进行验收。</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验收方法：由采购人授权代表、中标供应商授权代表共同组成的项目验收小组进行验收。验收所需试件、工具、量具、材料由中标供应商提供，如需检测费用由中标供应商承担；验收地点为设备安装地点；验收内容按照成交参数及本合同约定的内容进行；验收报告双方共同签署后生效。验收通过后付验收款前中标供应商应向采购人交付竣工图纸及相关附随资料，否则采购人有权不予支付。</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对产品异议的时间和办法：采购人在验收中，如果发现货物的品种、型号、数量、规格和质量或有关软件或有关服务不合规定，应妥为保管，并在验收之日起20日内向中标供应商提岀书面异议。中标供应商在接到采购人书面异议后，应在10天内负责处理完毕，否则，即视为默认采购人提出的异议和处理意见。</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（5）整体验收通过且采购人书面确认后，中标供应商才完成货物及设备安装交付。</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2、质保期及售后服务要求</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（1）质保期为项目验收合格后</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年内包修、包退、包换；</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在质保期内，中标供应商须提供常设售后服务电话热线、远程及现场支持服务和长期的免费维修支持。中标供应商接到报障后，电话响应时间〈2小时，技术人员接到报障后12小时内提供上门服务，一般故障的，应在接到报障后24小时内修复；复杂故障的，应在接到报障后3个工作日内修复。现场无法解决需返回厂家维修的，接到报障后超过15日未能修复的必须更换相同参数或更高的产品保证甲方能正常使用。若中标供应商未依约提供，采购人自行解决，中标供应商应承担产生的费用。</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（3）售后培训：项目验收合格后，中标人提供对采购人单位 1-2 名人员的</w:t>
      </w:r>
      <w:r>
        <w:rPr>
          <w:rFonts w:hint="eastAsia" w:ascii="仿宋" w:hAnsi="仿宋" w:eastAsia="仿宋" w:cs="仿宋"/>
          <w:color w:val="auto"/>
          <w:sz w:val="28"/>
          <w:szCs w:val="28"/>
          <w:lang w:val="en-US" w:eastAsia="zh-CN"/>
        </w:rPr>
        <w:t xml:space="preserve">相关设备</w:t>
      </w:r>
      <w:r>
        <w:rPr>
          <w:rFonts w:hint="eastAsia" w:ascii="仿宋" w:hAnsi="仿宋" w:eastAsia="仿宋" w:cs="仿宋"/>
          <w:color w:val="auto"/>
          <w:sz w:val="28"/>
          <w:szCs w:val="28"/>
        </w:rPr>
        <w:t xml:space="preserve">技术培训</w:t>
      </w:r>
      <w:r>
        <w:rPr>
          <w:rFonts w:hint="eastAsia" w:ascii="仿宋" w:hAnsi="仿宋" w:eastAsia="仿宋" w:cs="仿宋"/>
          <w:color w:val="auto"/>
          <w:sz w:val="28"/>
          <w:szCs w:val="28"/>
          <w:lang w:val="en-US" w:eastAsia="zh-CN"/>
        </w:rPr>
        <w:t xml:space="preserve">工作</w:t>
      </w:r>
      <w:r>
        <w:rPr>
          <w:rFonts w:hint="eastAsia" w:ascii="仿宋" w:hAnsi="仿宋" w:eastAsia="仿宋" w:cs="仿宋"/>
          <w:color w:val="auto"/>
          <w:sz w:val="28"/>
          <w:szCs w:val="28"/>
        </w:rPr>
        <w:t xml:space="preserve">。</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3、实施安装要求</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（1）必须遵守国家安全生产法律法规和有关规程规范，中标供应商对安装过程安全负全责。</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标供应商应在可安装范围装设临时围栏或警告标志，不得超越指定的范围进行作业，禁止无关人员进入施工现场。未经采购人同意，中标供应商不得擅自使用与实施无关的采购人设施设备；不得擅自拆除、变更采购人防护设施及标示。</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（3）中标供应商在安装过程中如需使用电、水源、通讯资源，应事先与采购人取得联系，经采购人批准后方可使用，不得私拉乱接。中断作业或遇故障应立即切断有关开关。</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（4）中标供应商在安装过程中应确保安全文明施工，做到人离场清。</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（5）中标供应商必须接受采购人的监督、检查，对采购人提出的安全整改意见必须及时整改。</w:t>
      </w:r>
      <w:r/>
    </w:p>
    <w:p>
      <w:pPr>
        <w:pStyle w:val="924"/>
        <w:ind w:left="0" w:right="0" w:firstLine="560"/>
        <w:jc w:val="left"/>
        <w:keepLines w:val="0"/>
        <w:keepNext w:val="0"/>
        <w:pageBreakBefore w:val="0"/>
        <w:spacing w:beforeAutospacing="0" w:afterAutospacing="0"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（6）中标供应商必须按照采购人对外来人员管理要求，配合做好出入管理工作。</w:t>
      </w:r>
      <w:bookmarkEnd w:id="38"/>
      <w:r/>
    </w:p>
    <w:p>
      <w:pPr>
        <w:pStyle w:val="851"/>
        <w:keepLines w:val="0"/>
        <w:keepNext w:val="0"/>
        <w:pageBreakBefore w:val="0"/>
        <w:spacing w:line="520" w:lineRule="exac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bidi="ar-SA"/>
        </w:rPr>
        <w:t xml:space="preserve">五、</w:t>
      </w:r>
      <w:r>
        <w:rPr>
          <w:rFonts w:hint="eastAsia" w:ascii="仿宋" w:hAnsi="仿宋" w:eastAsia="仿宋" w:cs="仿宋"/>
          <w:b/>
          <w:bCs w:val="0"/>
          <w:color w:val="auto"/>
          <w:sz w:val="28"/>
          <w:szCs w:val="28"/>
          <w:highlight w:val="none"/>
        </w:rPr>
        <w:t xml:space="preserve">商务部分</w:t>
      </w:r>
      <w:r/>
    </w:p>
    <w:p>
      <w:pPr>
        <w:ind w:firstLine="560"/>
        <w:keepLines w:val="0"/>
        <w:keepNext w:val="0"/>
        <w:pageBreakBefore w:val="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（一）供货时间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Cs/>
          <w:color w:val="auto"/>
          <w:sz w:val="28"/>
          <w:szCs w:val="28"/>
          <w:highlight w:val="none"/>
          <w:lang w:val="zh-TW" w:eastAsia="zh-CN"/>
        </w:rPr>
        <w:t xml:space="preserve">合同签订后</w:t>
      </w:r>
      <w:r>
        <w:rPr>
          <w:rFonts w:hint="eastAsia" w:ascii="仿宋" w:hAnsi="仿宋" w:eastAsia="仿宋" w:cs="仿宋"/>
          <w:bCs/>
          <w:color w:val="auto"/>
          <w:sz w:val="28"/>
          <w:szCs w:val="28"/>
          <w:highlight w:val="none"/>
          <w:lang w:val="en-US" w:eastAsia="zh-CN"/>
        </w:rPr>
        <w:t xml:space="preserve">180</w:t>
      </w:r>
      <w:r>
        <w:rPr>
          <w:rFonts w:hint="eastAsia" w:ascii="仿宋" w:hAnsi="仿宋" w:eastAsia="仿宋" w:cs="仿宋"/>
          <w:bCs/>
          <w:color w:val="auto"/>
          <w:sz w:val="28"/>
          <w:szCs w:val="28"/>
          <w:highlight w:val="none"/>
          <w:lang w:val="zh-TW" w:eastAsia="zh-CN"/>
        </w:rPr>
        <w:t xml:space="preserve">日内供货安装调试到位，交付采购单位使用。</w:t>
      </w:r>
      <w:r/>
    </w:p>
    <w:p>
      <w:pPr>
        <w:ind w:firstLine="560"/>
        <w:keepLines w:val="0"/>
        <w:keepNext w:val="0"/>
        <w:pageBreakBefore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（二）供货地点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由采购人指定。</w:t>
      </w:r>
      <w:r/>
    </w:p>
    <w:p>
      <w:pPr>
        <w:ind w:firstLine="560"/>
        <w:jc w:val="center"/>
        <w:spacing w:line="520" w:lineRule="exact"/>
        <w:rPr>
          <w:rFonts w:hint="eastAsia" w:ascii="黑体" w:hAnsi="黑体" w:eastAsia="黑体"/>
          <w:b/>
          <w:bCs/>
          <w:color w:val="auto"/>
          <w:sz w:val="36"/>
          <w:highlight w:val="none"/>
        </w:rPr>
      </w:pPr>
      <w:r>
        <w:rPr>
          <w:rFonts w:hint="eastAsia" w:ascii="仿宋" w:hAnsi="仿宋" w:eastAsia="仿宋" w:cs="仿宋"/>
          <w:color w:val="auto"/>
          <w:sz w:val="28"/>
          <w:szCs w:val="28"/>
          <w:highlight w:val="none"/>
        </w:rPr>
        <w:t xml:space="preserve">（三）付款方式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签订合同</w:t>
      </w:r>
      <w:r>
        <w:rPr>
          <w:rFonts w:hint="eastAsia" w:ascii="仿宋" w:hAnsi="仿宋" w:eastAsia="仿宋" w:cs="仿宋"/>
          <w:color w:val="auto"/>
          <w:sz w:val="28"/>
          <w:szCs w:val="28"/>
          <w:highlight w:val="none"/>
          <w:lang w:val="en-US" w:eastAsia="zh-CN"/>
        </w:rPr>
        <w:t xml:space="preserve">后，甲方</w:t>
      </w:r>
      <w:r>
        <w:rPr>
          <w:rFonts w:hint="eastAsia" w:ascii="仿宋" w:hAnsi="仿宋" w:eastAsia="仿宋" w:cs="仿宋"/>
          <w:color w:val="auto"/>
          <w:sz w:val="28"/>
          <w:szCs w:val="28"/>
          <w:highlight w:val="none"/>
        </w:rPr>
        <w:t xml:space="preserve">收到乙方发票后20个工作日内，</w:t>
      </w:r>
      <w:r>
        <w:rPr>
          <w:rFonts w:hint="eastAsia" w:ascii="仿宋" w:hAnsi="仿宋" w:eastAsia="仿宋" w:cs="仿宋"/>
          <w:color w:val="auto"/>
          <w:sz w:val="28"/>
          <w:szCs w:val="28"/>
          <w:highlight w:val="none"/>
          <w:lang w:val="en-US" w:eastAsia="zh-CN"/>
        </w:rPr>
        <w:t xml:space="preserve">甲方向</w:t>
      </w:r>
      <w:r>
        <w:rPr>
          <w:rFonts w:hint="eastAsia" w:ascii="仿宋" w:hAnsi="仿宋" w:eastAsia="仿宋" w:cs="仿宋"/>
          <w:color w:val="auto"/>
          <w:sz w:val="28"/>
          <w:szCs w:val="28"/>
          <w:highlight w:val="none"/>
        </w:rPr>
        <w:t xml:space="preserve">乙方支付合同金额的</w:t>
      </w:r>
      <w:r>
        <w:rPr>
          <w:rFonts w:hint="eastAsia" w:ascii="仿宋" w:hAnsi="仿宋" w:eastAsia="仿宋" w:cs="仿宋"/>
          <w:color w:val="auto"/>
          <w:sz w:val="28"/>
          <w:szCs w:val="28"/>
          <w:highlight w:val="none"/>
          <w:lang w:val="en-US" w:eastAsia="zh-CN"/>
        </w:rPr>
        <w:t xml:space="preserve">50</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供货完成且</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验收合格</w:t>
      </w:r>
      <w:r>
        <w:rPr>
          <w:rFonts w:hint="eastAsia" w:ascii="仿宋" w:hAnsi="仿宋" w:eastAsia="仿宋" w:cs="仿宋"/>
          <w:color w:val="auto"/>
          <w:sz w:val="28"/>
          <w:szCs w:val="28"/>
          <w:highlight w:val="none"/>
          <w:lang w:val="en-US" w:eastAsia="zh-CN"/>
        </w:rPr>
        <w:t xml:space="preserve">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递交项目资料及结算资料，</w:t>
      </w:r>
      <w:r>
        <w:rPr>
          <w:rFonts w:hint="eastAsia" w:ascii="仿宋" w:hAnsi="仿宋" w:eastAsia="仿宋" w:cs="仿宋"/>
          <w:color w:val="auto"/>
          <w:sz w:val="28"/>
          <w:szCs w:val="28"/>
          <w:highlight w:val="none"/>
          <w:lang w:val="en-US" w:eastAsia="zh-CN"/>
        </w:rPr>
        <w:t xml:space="preserve">经审计后，甲方向</w:t>
      </w:r>
      <w:r>
        <w:rPr>
          <w:rFonts w:hint="eastAsia" w:ascii="仿宋" w:hAnsi="仿宋" w:eastAsia="仿宋" w:cs="仿宋"/>
          <w:color w:val="auto"/>
          <w:sz w:val="28"/>
          <w:szCs w:val="28"/>
          <w:highlight w:val="none"/>
        </w:rPr>
        <w:t xml:space="preserve">乙方支付至</w:t>
      </w:r>
      <w:r>
        <w:rPr>
          <w:rFonts w:hint="eastAsia" w:ascii="仿宋" w:hAnsi="仿宋" w:eastAsia="仿宋" w:cs="仿宋"/>
          <w:color w:val="auto"/>
          <w:sz w:val="28"/>
          <w:szCs w:val="28"/>
          <w:highlight w:val="none"/>
          <w:lang w:val="en-US" w:eastAsia="zh-CN"/>
        </w:rPr>
        <w:t xml:space="preserve">审定</w:t>
      </w:r>
      <w:r>
        <w:rPr>
          <w:rFonts w:hint="eastAsia" w:ascii="仿宋" w:hAnsi="仿宋" w:eastAsia="仿宋" w:cs="仿宋"/>
          <w:color w:val="auto"/>
          <w:sz w:val="28"/>
          <w:szCs w:val="28"/>
          <w:highlight w:val="none"/>
        </w:rPr>
        <w:t xml:space="preserve">金额的100%</w:t>
      </w:r>
      <w:r>
        <w:rPr>
          <w:rFonts w:hint="eastAsia" w:ascii="仿宋" w:hAnsi="仿宋" w:eastAsia="仿宋" w:cs="仿宋"/>
          <w:color w:val="auto"/>
          <w:sz w:val="28"/>
          <w:szCs w:val="28"/>
          <w:highlight w:val="none"/>
          <w:lang w:eastAsia="zh-CN"/>
        </w:rPr>
        <w:t xml:space="preserve">。</w:t>
      </w:r>
      <w:r>
        <w:rPr>
          <w:rFonts w:hint="eastAsia" w:ascii="黑体" w:hAnsi="黑体" w:eastAsia="黑体"/>
          <w:b/>
          <w:bCs/>
          <w:color w:val="auto"/>
          <w:sz w:val="36"/>
          <w:highlight w:val="none"/>
        </w:rPr>
        <w:br w:type="page" w:clear="all"/>
      </w:r>
      <w:r>
        <w:rPr>
          <w:rFonts w:hint="eastAsia" w:ascii="黑体" w:hAnsi="黑体" w:eastAsia="黑体"/>
          <w:b/>
          <w:bCs/>
          <w:color w:val="auto"/>
          <w:sz w:val="36"/>
          <w:highlight w:val="none"/>
        </w:rPr>
        <w:t xml:space="preserve">第六章   投  标  文  件</w:t>
      </w:r>
      <w:r/>
    </w:p>
    <w:p>
      <w:pPr>
        <w:pStyle w:val="851"/>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51"/>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lang w:eastAsia="zh-CN"/>
        </w:rPr>
      </w:pPr>
      <w:r>
        <w:rPr>
          <w:rFonts w:hint="eastAsia" w:ascii="黑体" w:hAnsi="黑体" w:eastAsia="黑体"/>
          <w:b/>
          <w:bCs/>
          <w:color w:val="auto"/>
          <w:sz w:val="36"/>
          <w:highlight w:val="none"/>
        </w:rPr>
        <w:t xml:space="preserve">项目名称</w:t>
      </w:r>
      <w:r>
        <w:rPr>
          <w:rFonts w:hint="eastAsia" w:ascii="黑体" w:hAnsi="黑体" w:eastAsia="黑体"/>
          <w:b/>
          <w:bCs/>
          <w:color w:val="auto"/>
          <w:sz w:val="36"/>
          <w:highlight w:val="none"/>
          <w:lang w:eastAsia="zh-CN"/>
        </w:rPr>
        <w:t xml:space="preserve">：</w:t>
      </w:r>
      <w:r/>
    </w:p>
    <w:p>
      <w:pPr>
        <w:pStyle w:val="851"/>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51"/>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51"/>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51"/>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51"/>
        <w:ind w:firstLine="1066"/>
        <w:rPr>
          <w:rFonts w:hint="eastAsia" w:ascii="黑体" w:hAnsi="黑体" w:eastAsia="黑体"/>
          <w:b/>
          <w:color w:val="auto"/>
          <w:sz w:val="36"/>
          <w:szCs w:val="24"/>
          <w:highlight w:val="none"/>
          <w:lang w:eastAsia="zh-CN"/>
        </w:rPr>
      </w:pPr>
      <w:r>
        <w:rPr>
          <w:rFonts w:hint="eastAsia" w:ascii="黑体" w:hAnsi="黑体" w:eastAsia="黑体"/>
          <w:b/>
          <w:color w:val="auto"/>
          <w:sz w:val="36"/>
          <w:szCs w:val="24"/>
          <w:highlight w:val="none"/>
        </w:rPr>
        <w:t xml:space="preserve">项目编号</w:t>
      </w:r>
      <w:r>
        <w:rPr>
          <w:rFonts w:hint="eastAsia" w:ascii="黑体" w:hAnsi="黑体" w:eastAsia="黑体"/>
          <w:b/>
          <w:color w:val="auto"/>
          <w:sz w:val="36"/>
          <w:szCs w:val="24"/>
          <w:highlight w:val="none"/>
          <w:lang w:eastAsia="zh-CN"/>
        </w:rPr>
        <w:t xml:space="preserve">：</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lang w:eastAsia="zh-CN"/>
        </w:rPr>
      </w:pPr>
      <w:r>
        <w:rPr>
          <w:rFonts w:hint="eastAsia" w:ascii="黑体" w:hAnsi="黑体" w:eastAsia="黑体"/>
          <w:b/>
          <w:bCs/>
          <w:color w:val="auto"/>
          <w:sz w:val="36"/>
          <w:highlight w:val="none"/>
        </w:rPr>
        <w:t xml:space="preserve">投 标 人</w:t>
      </w:r>
      <w:r>
        <w:rPr>
          <w:rFonts w:hint="eastAsia" w:ascii="黑体" w:hAnsi="黑体" w:eastAsia="黑体"/>
          <w:b/>
          <w:bCs/>
          <w:color w:val="auto"/>
          <w:sz w:val="36"/>
          <w:highlight w:val="none"/>
          <w:lang w:eastAsia="zh-CN"/>
        </w:rPr>
        <w:t xml:space="preserve">：</w:t>
      </w:r>
      <w:r/>
    </w:p>
    <w:p>
      <w:pPr>
        <w:pStyle w:val="85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51"/>
        <w:ind w:firstLine="2103"/>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二〇二五</w:t>
      </w:r>
      <w:r>
        <w:rPr>
          <w:rFonts w:hint="eastAsia" w:ascii="黑体" w:hAnsi="黑体" w:eastAsia="黑体"/>
          <w:b/>
          <w:color w:val="auto"/>
          <w:sz w:val="36"/>
          <w:szCs w:val="24"/>
          <w:highlight w:val="none"/>
        </w:rPr>
        <w:t xml:space="preserve">年    月    日</w:t>
      </w:r>
      <w:r/>
    </w:p>
    <w:p>
      <w:pPr>
        <w:jc w:val="center"/>
        <w:spacing w:line="600" w:lineRule="exact"/>
        <w:rPr>
          <w:rFonts w:hint="eastAsia" w:ascii="仿宋" w:hAnsi="仿宋" w:eastAsia="仿宋" w:cs="仿宋"/>
          <w:b/>
          <w:color w:val="auto"/>
          <w:sz w:val="32"/>
          <w:szCs w:val="32"/>
          <w:highlight w:val="none"/>
        </w:rPr>
      </w:pPr>
      <w:r>
        <w:rPr>
          <w:rFonts w:hint="eastAsia" w:ascii="仿宋" w:hAnsi="仿宋" w:eastAsia="仿宋"/>
          <w:b/>
          <w:color w:val="auto"/>
          <w:sz w:val="32"/>
          <w:szCs w:val="32"/>
          <w:highlight w:val="none"/>
        </w:rPr>
        <w:br w:type="page" w:clear="all"/>
      </w:r>
      <w:r>
        <w:rPr>
          <w:rFonts w:hint="eastAsia" w:ascii="仿宋" w:hAnsi="仿宋" w:eastAsia="仿宋" w:cs="仿宋"/>
          <w:b/>
          <w:color w:val="auto"/>
          <w:sz w:val="32"/>
          <w:szCs w:val="32"/>
          <w:highlight w:val="none"/>
        </w:rPr>
        <w:t xml:space="preserve">一、投标函</w:t>
      </w:r>
      <w:r/>
    </w:p>
    <w:p>
      <w:pPr>
        <w:pStyle w:val="851"/>
        <w:keepLines w:val="0"/>
        <w:keepNext w:val="0"/>
        <w:pageBreakBefore w:val="0"/>
        <w:spacing w:line="440" w:lineRule="exact"/>
        <w:widowControl w:val="off"/>
        <w:rPr>
          <w:rFonts w:hint="eastAsia" w:ascii="仿宋" w:hAnsi="仿宋" w:eastAsia="仿宋" w:cs="仿宋"/>
          <w:color w:val="auto"/>
          <w:sz w:val="28"/>
          <w:szCs w:val="24"/>
          <w:highlight w:val="none"/>
          <w:lang w:eastAsia="zh-CN"/>
        </w:rPr>
      </w:pPr>
      <w:r>
        <w:rPr>
          <w:rFonts w:hint="eastAsia" w:ascii="仿宋" w:hAnsi="仿宋" w:eastAsia="仿宋" w:cs="仿宋"/>
          <w:color w:val="auto"/>
          <w:sz w:val="28"/>
          <w:szCs w:val="24"/>
          <w:highlight w:val="none"/>
          <w:lang w:eastAsia="zh-CN"/>
        </w:rPr>
        <w:t xml:space="preserve">淮安市博物馆：</w:t>
      </w:r>
      <w:r/>
    </w:p>
    <w:p>
      <w:pPr>
        <w:pStyle w:val="920"/>
        <w:ind w:firstLine="700"/>
        <w:keepLines w:val="0"/>
        <w:keepNext w:val="0"/>
        <w:pageBreakBefore w:val="0"/>
        <w:spacing w:before="0" w:after="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采购项目（项目编号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（姓名和职务）代表</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（投标人单位名称），全权处理本次项目投标的有关事宜。</w:t>
      </w:r>
      <w:r/>
    </w:p>
    <w:p>
      <w:pPr>
        <w:ind w:firstLine="560"/>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1.</w:t>
      </w:r>
      <w:r>
        <w:rPr>
          <w:rFonts w:hint="eastAsia" w:ascii="仿宋" w:hAnsi="仿宋" w:eastAsia="仿宋" w:cs="仿宋"/>
          <w:color w:val="auto"/>
          <w:sz w:val="28"/>
          <w:szCs w:val="28"/>
          <w:highlight w:val="none"/>
        </w:rPr>
        <w:t xml:space="preserve">我公司没有为本项目提供整体设计、规范编制或者项目管理、监理、检测等服务。</w:t>
      </w:r>
      <w:r/>
    </w:p>
    <w:p>
      <w:pPr>
        <w:ind w:firstLine="560"/>
        <w:keepLines w:val="0"/>
        <w:keepNext w:val="0"/>
        <w:pageBreakBefore w:val="0"/>
        <w:spacing w:line="440" w:lineRule="exact"/>
        <w:widowControl w:val="off"/>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2.</w:t>
      </w:r>
      <w:r>
        <w:rPr>
          <w:rFonts w:hint="eastAsia" w:ascii="仿宋" w:hAnsi="仿宋" w:eastAsia="仿宋" w:cs="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20"/>
        <w:ind w:firstLine="560"/>
        <w:keepLines w:val="0"/>
        <w:keepNext w:val="0"/>
        <w:pageBreakBefore w:val="0"/>
        <w:spacing w:before="0" w:after="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我们接受招标文件的所有条款和规定。</w:t>
      </w:r>
      <w:r/>
    </w:p>
    <w:p>
      <w:pPr>
        <w:pStyle w:val="920"/>
        <w:ind w:firstLine="560"/>
        <w:keepLines w:val="0"/>
        <w:keepNext w:val="0"/>
        <w:pageBreakBefore w:val="0"/>
        <w:spacing w:before="0" w:after="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我们同意按照招标文件第二章第15条的规定，本投标文件的有效期为从开标之</w:t>
      </w:r>
      <w:r>
        <w:rPr>
          <w:rFonts w:hint="eastAsia" w:ascii="仿宋" w:hAnsi="仿宋" w:eastAsia="仿宋" w:cs="仿宋"/>
          <w:color w:val="auto"/>
          <w:sz w:val="28"/>
          <w:szCs w:val="28"/>
          <w:highlight w:val="none"/>
          <w:lang w:eastAsia="zh-CN"/>
        </w:rPr>
        <w:t xml:space="preserve">日</w:t>
      </w:r>
      <w:r>
        <w:rPr>
          <w:rFonts w:hint="eastAsia" w:ascii="仿宋" w:hAnsi="仿宋" w:eastAsia="仿宋" w:cs="仿宋"/>
          <w:color w:val="auto"/>
          <w:sz w:val="28"/>
          <w:szCs w:val="28"/>
          <w:highlight w:val="none"/>
        </w:rPr>
        <w:t xml:space="preserve">起计算的六十天，在此期间，本投标文件将始终对我们具有约束力，并可随时被接受。如果我们中标，本投标文件在此期间之后将继续保持有效。</w:t>
      </w:r>
      <w:r/>
    </w:p>
    <w:p>
      <w:pPr>
        <w:pStyle w:val="920"/>
        <w:ind w:firstLine="560"/>
        <w:keepLines w:val="0"/>
        <w:keepNext w:val="0"/>
        <w:pageBreakBefore w:val="0"/>
        <w:spacing w:before="0" w:after="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我们理解，你们无义务必须接受投标价最低的投标。同时也理解你们不承担我们本次投标的费用。</w:t>
      </w:r>
      <w:r/>
    </w:p>
    <w:p>
      <w:pPr>
        <w:pStyle w:val="920"/>
        <w:ind w:firstLine="560"/>
        <w:keepLines w:val="0"/>
        <w:keepNext w:val="0"/>
        <w:pageBreakBefore w:val="0"/>
        <w:spacing w:before="0" w:after="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6.</w:t>
      </w:r>
      <w:r>
        <w:rPr>
          <w:rFonts w:hint="eastAsia" w:ascii="仿宋" w:hAnsi="仿宋" w:eastAsia="仿宋" w:cs="仿宋"/>
          <w:color w:val="auto"/>
          <w:sz w:val="28"/>
          <w:highlight w:val="none"/>
        </w:rPr>
        <w:t xml:space="preserve">我们同意向贵方提供贵方可能要求的与投标有关的任何证据或资料，并保证所提供的都是真实的、准确的。</w:t>
      </w:r>
      <w:r/>
    </w:p>
    <w:p>
      <w:pPr>
        <w:pStyle w:val="920"/>
        <w:ind w:firstLine="560"/>
        <w:keepLines w:val="0"/>
        <w:keepNext w:val="0"/>
        <w:pageBreakBefore w:val="0"/>
        <w:spacing w:before="0" w:after="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w:t>
      </w:r>
      <w:r>
        <w:rPr>
          <w:rFonts w:hint="eastAsia" w:ascii="仿宋" w:hAnsi="仿宋" w:eastAsia="仿宋" w:cs="仿宋"/>
          <w:color w:val="auto"/>
          <w:sz w:val="28"/>
          <w:szCs w:val="28"/>
          <w:highlight w:val="none"/>
        </w:rPr>
        <w:t xml:space="preserve">一旦我方中标，我方将根据招标文件的规定，严格履行合同的责任和义务，并保证</w:t>
      </w:r>
      <w:r>
        <w:rPr>
          <w:rFonts w:hint="eastAsia" w:ascii="仿宋" w:hAnsi="仿宋" w:eastAsia="仿宋" w:cs="仿宋"/>
          <w:color w:val="auto"/>
          <w:sz w:val="28"/>
          <w:szCs w:val="28"/>
          <w:highlight w:val="none"/>
          <w:lang w:eastAsia="zh-CN"/>
        </w:rPr>
        <w:t xml:space="preserve">在</w:t>
      </w:r>
      <w:r>
        <w:rPr>
          <w:rFonts w:hint="eastAsia" w:ascii="仿宋" w:hAnsi="仿宋" w:eastAsia="仿宋" w:cs="仿宋"/>
          <w:color w:val="auto"/>
          <w:sz w:val="28"/>
          <w:szCs w:val="28"/>
          <w:highlight w:val="none"/>
        </w:rPr>
        <w:t xml:space="preserve">招标文件中规定的时间内供货，并完成项目的施工、调试、交付买方验收、使用。</w:t>
      </w:r>
      <w:r/>
    </w:p>
    <w:p>
      <w:pPr>
        <w:pStyle w:val="920"/>
        <w:ind w:right="560" w:firstLine="2940"/>
        <w:keepLines w:val="0"/>
        <w:keepNext w:val="0"/>
        <w:pageBreakBefore w:val="0"/>
        <w:spacing w:before="0" w:after="0" w:line="440" w:lineRule="exact"/>
        <w:widowControl w:val="off"/>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20"/>
        <w:ind w:right="560" w:firstLine="2940"/>
        <w:keepLines w:val="0"/>
        <w:keepNext w:val="0"/>
        <w:pageBreakBefore w:val="0"/>
        <w:spacing w:before="0" w:after="0" w:line="440" w:lineRule="exact"/>
        <w:widowControl w:val="off"/>
        <w:rPr>
          <w:rFonts w:ascii="仿宋" w:hAnsi="仿宋" w:eastAsia="仿宋" w:cs="仿宋"/>
          <w:color w:val="auto"/>
          <w:sz w:val="28"/>
          <w:highlight w:val="none"/>
          <w:u w:val="single"/>
          <w:lang w:val="en-US" w:eastAsia="zh-CN"/>
        </w:rPr>
      </w:pPr>
      <w:r>
        <w:rPr>
          <w:rFonts w:hint="eastAsia" w:ascii="仿宋" w:hAnsi="仿宋" w:eastAsia="仿宋" w:cs="仿宋"/>
          <w:color w:val="auto"/>
          <w:sz w:val="28"/>
          <w:highlight w:val="none"/>
        </w:rPr>
        <w:t xml:space="preserve">投标人名称（电子签章）</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u w:val="single"/>
          <w:lang w:val="en-US" w:eastAsia="zh-CN"/>
        </w:rPr>
        <w:t xml:space="preserve">        </w:t>
      </w:r>
      <w:r/>
    </w:p>
    <w:p>
      <w:pPr>
        <w:pStyle w:val="920"/>
        <w:ind w:right="560" w:firstLine="2940"/>
        <w:keepLines w:val="0"/>
        <w:keepNext w:val="0"/>
        <w:pageBreakBefore w:val="0"/>
        <w:spacing w:before="0" w:after="0" w:line="44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pStyle w:val="920"/>
        <w:ind w:right="560" w:firstLine="2940"/>
        <w:keepLines w:val="0"/>
        <w:keepNext w:val="0"/>
        <w:pageBreakBefore w:val="0"/>
        <w:spacing w:before="0" w:after="0" w:line="44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电话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pStyle w:val="920"/>
        <w:ind w:right="560" w:firstLine="2940"/>
        <w:keepLines w:val="0"/>
        <w:keepNext w:val="0"/>
        <w:pageBreakBefore w:val="0"/>
        <w:spacing w:before="0" w:after="0" w:line="440" w:lineRule="exact"/>
        <w:widowControl w:val="off"/>
        <w:rPr>
          <w:rFonts w:hint="eastAsia" w:ascii="仿宋" w:hAnsi="仿宋" w:eastAsia="仿宋" w:cs="仿宋"/>
          <w:color w:val="auto"/>
          <w:sz w:val="28"/>
          <w:szCs w:val="24"/>
          <w:highlight w:val="none"/>
        </w:rPr>
      </w:pPr>
      <w:r/>
      <w:bookmarkStart w:id="43" w:name="_GoBack"/>
      <w:r/>
      <w:bookmarkEnd w:id="43"/>
      <w:r>
        <w:rPr>
          <w:rFonts w:hint="eastAsia" w:ascii="仿宋" w:hAnsi="仿宋" w:eastAsia="仿宋" w:cs="仿宋"/>
          <w:color w:val="auto"/>
          <w:sz w:val="28"/>
          <w:szCs w:val="24"/>
          <w:highlight w:val="none"/>
        </w:rPr>
        <w:t xml:space="preserve">日期</w:t>
      </w:r>
      <w:r>
        <w:rPr>
          <w:rFonts w:hint="eastAsia" w:ascii="仿宋" w:hAnsi="仿宋" w:eastAsia="仿宋" w:cs="仿宋"/>
          <w:color w:val="auto"/>
          <w:sz w:val="28"/>
          <w:szCs w:val="24"/>
          <w:highlight w:val="none"/>
          <w:lang w:eastAsia="zh-CN"/>
        </w:rPr>
        <w:t xml:space="preserve">：</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 xml:space="preserve">日</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660"/>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7"/>
        <w:gridCol w:w="7418"/>
      </w:tblGrid>
      <w:tr>
        <w:trPr>
          <w:cantSplit/>
          <w:trHeight w:val="1398" w:hRule="exact"/>
        </w:trPr>
        <w:tc>
          <w:tcPr>
            <w:tcW w:w="1005"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3994"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trHeight w:val="2261"/>
        </w:trPr>
        <w:tc>
          <w:tcPr>
            <w:tcW w:w="1005" w:type="dxa"/>
            <w:vAlign w:val="center"/>
            <w:textDirection w:val="lrTb"/>
            <w:noWrap w:val="false"/>
          </w:tcPr>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w:t>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总计</w:t>
            </w:r>
            <w:r/>
          </w:p>
        </w:tc>
        <w:tc>
          <w:tcPr>
            <w:tcW w:w="3994" w:type="dxa"/>
            <w:vAlign w:val="center"/>
            <w:textDirection w:val="lrTb"/>
            <w:noWrap w:val="false"/>
          </w:tcPr>
          <w:p>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r/>
          </w:p>
          <w:p>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w:t>
            </w:r>
            <w:r/>
          </w:p>
        </w:tc>
      </w:tr>
      <w:tr>
        <w:trPr>
          <w:cantSplit/>
          <w:trHeight w:val="1273"/>
        </w:trPr>
        <w:tc>
          <w:tcPr>
            <w:tcW w:w="1005" w:type="dxa"/>
            <w:vAlign w:val="center"/>
            <w:textDirection w:val="lrTb"/>
            <w:noWrap w:val="false"/>
          </w:tcPr>
          <w:p>
            <w:pPr>
              <w:ind w:firstLine="1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核心品牌</w:t>
            </w:r>
            <w:r/>
          </w:p>
        </w:tc>
        <w:tc>
          <w:tcPr>
            <w:tcW w:w="3994" w:type="dxa"/>
            <w:vAlign w:val="center"/>
            <w:textDirection w:val="lrTb"/>
            <w:noWrap w:val="false"/>
          </w:tcPr>
          <w:p>
            <w:pPr>
              <w:ind w:firstLine="15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bl>
    <w:p>
      <w:pPr>
        <w:ind w:firstLine="411"/>
        <w:spacing w:line="440" w:lineRule="exact"/>
        <w:rPr>
          <w:rFonts w:hint="eastAsia" w:ascii="仿宋" w:hAnsi="仿宋" w:eastAsia="仿宋" w:cs="仿宋"/>
          <w:color w:val="auto"/>
          <w:sz w:val="28"/>
          <w:szCs w:val="28"/>
          <w:highlight w:val="none"/>
        </w:rPr>
      </w:pPr>
      <w:r/>
      <w:bookmarkStart w:id="39" w:name="_Toc136924766"/>
      <w:r/>
      <w:bookmarkStart w:id="40" w:name="_Toc157775459"/>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411"/>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bookmarkEnd w:id="39"/>
      <w:bookmarkEnd w:id="40"/>
      <w:r/>
    </w:p>
    <w:p>
      <w:pPr>
        <w:pStyle w:val="851"/>
        <w:ind w:firstLine="2875"/>
        <w:rPr>
          <w:rFonts w:hint="eastAsia" w:ascii="仿宋" w:hAnsi="仿宋" w:eastAsia="仿宋" w:cs="仿宋"/>
          <w:b/>
          <w:color w:val="auto"/>
          <w:sz w:val="32"/>
          <w:szCs w:val="32"/>
          <w:highlight w:val="none"/>
        </w:rPr>
      </w:pPr>
      <w:r/>
      <w:bookmarkStart w:id="41" w:name="_Toc157775468"/>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三、投标报价明细表</w:t>
      </w:r>
      <w:r/>
    </w:p>
    <w:p>
      <w:pPr>
        <w:pStyle w:val="851"/>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6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序号</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产品名称</w:t>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品牌</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规格型号</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产地</w:t>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交付期</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数量</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分项单价</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993"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1417"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1030"/>
        </w:trPr>
        <w:tc>
          <w:tcPr>
            <w:gridSpan w:val="8"/>
            <w:tcMar>
              <w:left w:w="108" w:type="dxa"/>
              <w:top w:w="0" w:type="dxa"/>
              <w:right w:w="108" w:type="dxa"/>
              <w:bottom w:w="0" w:type="dxa"/>
            </w:tcMar>
            <w:tcW w:w="8330" w:type="dxa"/>
            <w:vAlign w:val="center"/>
            <w:textDirection w:val="lrTb"/>
            <w:noWrap w:val="false"/>
          </w:tcPr>
          <w:p>
            <w:pPr>
              <w:pStyle w:val="851"/>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投标总报价（人民币：元）</w:t>
            </w:r>
            <w:r/>
          </w:p>
        </w:tc>
        <w:tc>
          <w:tcPr>
            <w:tcMar>
              <w:left w:w="108" w:type="dxa"/>
              <w:top w:w="0" w:type="dxa"/>
              <w:right w:w="108" w:type="dxa"/>
              <w:bottom w:w="0" w:type="dxa"/>
            </w:tcMar>
            <w:tcW w:w="850" w:type="dxa"/>
            <w:vAlign w:val="top"/>
            <w:textDirection w:val="lrTb"/>
            <w:noWrap w:val="false"/>
          </w:tcPr>
          <w:p>
            <w:pPr>
              <w:pStyle w:val="851"/>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bl>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851"/>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51"/>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备注：1</w:t>
      </w:r>
      <w:r>
        <w:rPr>
          <w:rFonts w:hint="eastAsia" w:ascii="仿宋" w:hAnsi="仿宋" w:eastAsia="仿宋" w:cs="仿宋"/>
          <w:color w:val="auto"/>
          <w:sz w:val="28"/>
          <w:szCs w:val="24"/>
          <w:highlight w:val="none"/>
          <w:lang w:val="en-US" w:eastAsia="zh-CN"/>
        </w:rPr>
        <w:t xml:space="preserve">.</w:t>
      </w:r>
      <w:r>
        <w:rPr>
          <w:rFonts w:hint="eastAsia" w:ascii="仿宋" w:hAnsi="仿宋" w:eastAsia="仿宋" w:cs="仿宋"/>
          <w:color w:val="auto"/>
          <w:sz w:val="28"/>
          <w:szCs w:val="24"/>
          <w:highlight w:val="none"/>
        </w:rPr>
        <w:t xml:space="preserve">投标报价采用总承包方式，“投标总报价”应包括所投货物（包含与货物相关的服务）费用、安装调试费、测试验收费、培训费、运行维护费用、税金</w:t>
      </w:r>
      <w:r>
        <w:rPr>
          <w:rFonts w:hint="eastAsia" w:ascii="仿宋" w:hAnsi="仿宋" w:eastAsia="仿宋" w:cs="仿宋"/>
          <w:color w:val="auto"/>
          <w:sz w:val="28"/>
          <w:szCs w:val="24"/>
          <w:highlight w:val="none"/>
          <w:lang w:val="en-US" w:eastAsia="zh-CN"/>
        </w:rPr>
        <w:t xml:space="preserve">等，以</w:t>
      </w:r>
      <w:r>
        <w:rPr>
          <w:rFonts w:hint="eastAsia" w:ascii="仿宋" w:hAnsi="仿宋" w:eastAsia="仿宋" w:cs="仿宋"/>
          <w:color w:val="auto"/>
          <w:sz w:val="28"/>
          <w:szCs w:val="24"/>
          <w:highlight w:val="none"/>
        </w:rPr>
        <w:t xml:space="preserve">及其他有关的为完成本项目发生的所有费用，招标文件中另有规定的除外。</w:t>
      </w:r>
      <w:r/>
    </w:p>
    <w:p>
      <w:pPr>
        <w:pStyle w:val="851"/>
        <w:ind w:firstLine="69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eastAsia="zh-CN"/>
        </w:rPr>
        <w:t xml:space="preserve">2.</w:t>
      </w:r>
      <w:r>
        <w:rPr>
          <w:rFonts w:hint="eastAsia" w:ascii="仿宋" w:hAnsi="仿宋" w:eastAsia="仿宋" w:cs="仿宋"/>
          <w:color w:val="auto"/>
          <w:sz w:val="28"/>
          <w:szCs w:val="24"/>
          <w:highlight w:val="none"/>
        </w:rPr>
        <w:t xml:space="preserve">“投标分项报价表”中“投标总报价”数额应当与“开标一览表”中“投标总报价”数额一致。</w:t>
      </w:r>
      <w:r/>
    </w:p>
    <w:p>
      <w:pPr>
        <w:pStyle w:val="851"/>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851"/>
        <w:jc w:val="center"/>
        <w:spacing w:line="440" w:lineRule="exact"/>
        <w:rPr>
          <w:rFonts w:hint="eastAsia" w:ascii="仿宋" w:hAnsi="仿宋" w:eastAsia="仿宋" w:cs="仿宋"/>
          <w:b/>
          <w:color w:val="auto"/>
          <w:sz w:val="32"/>
          <w:highlight w:val="none"/>
        </w:rPr>
      </w:pPr>
      <w:r>
        <w:rPr>
          <w:rFonts w:hint="eastAsia" w:ascii="仿宋" w:hAnsi="仿宋" w:eastAsia="仿宋" w:cs="仿宋"/>
          <w:color w:val="auto"/>
          <w:sz w:val="28"/>
          <w:szCs w:val="24"/>
          <w:highlight w:val="none"/>
        </w:rPr>
        <w:br w:type="page" w:clear="all"/>
      </w:r>
      <w:r>
        <w:rPr>
          <w:rFonts w:hint="eastAsia" w:ascii="仿宋" w:hAnsi="仿宋" w:eastAsia="仿宋" w:cs="仿宋"/>
          <w:b/>
          <w:color w:val="auto"/>
          <w:sz w:val="32"/>
          <w:highlight w:val="none"/>
        </w:rPr>
        <w:t xml:space="preserve">四、技术要求</w:t>
      </w:r>
      <w:r>
        <w:rPr>
          <w:rFonts w:hint="eastAsia" w:ascii="仿宋" w:hAnsi="仿宋" w:eastAsia="仿宋" w:cs="仿宋"/>
          <w:b/>
          <w:color w:val="auto"/>
          <w:sz w:val="32"/>
          <w:szCs w:val="32"/>
          <w:highlight w:val="none"/>
        </w:rPr>
        <w:t xml:space="preserve">响应</w:t>
      </w:r>
      <w:r>
        <w:rPr>
          <w:rFonts w:hint="eastAsia" w:ascii="仿宋" w:hAnsi="仿宋" w:eastAsia="仿宋" w:cs="仿宋"/>
          <w:b/>
          <w:color w:val="auto"/>
          <w:sz w:val="32"/>
          <w:highlight w:val="none"/>
        </w:rPr>
        <w:t xml:space="preserve">偏离表</w:t>
      </w:r>
      <w:r/>
    </w:p>
    <w:tbl>
      <w:tblPr>
        <w:tblStyle w:val="660"/>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项目采购需求中主要技术</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条款描述</w:t>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所投产品规格、型号及相应技术参数描述</w:t>
            </w:r>
            <w:r/>
          </w:p>
        </w:tc>
        <w:tc>
          <w:tcPr>
            <w:tcW w:w="10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偏离情况</w:t>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（1）是否偏离用符号“+、=、-”分别表示正偏离、完全响应、负偏离。 </w:t>
      </w:r>
      <w:r/>
    </w:p>
    <w:p>
      <w:pPr>
        <w:ind w:firstLine="42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如未填写该表，视为未响应，该项不得分。</w:t>
      </w:r>
      <w:r/>
    </w:p>
    <w:p>
      <w:pPr>
        <w:ind w:firstLine="480"/>
        <w:spacing w:line="440" w:lineRule="exact"/>
        <w:rPr>
          <w:rFonts w:hint="eastAsia" w:ascii="仿宋" w:hAnsi="仿宋" w:eastAsia="仿宋" w:cs="仿宋"/>
          <w:bCs/>
          <w:color w:val="auto"/>
          <w:sz w:val="32"/>
          <w:highlight w:val="none"/>
        </w:rPr>
      </w:pPr>
      <w:r>
        <w:rPr>
          <w:rFonts w:hint="eastAsia" w:ascii="仿宋" w:hAnsi="仿宋" w:eastAsia="仿宋" w:cs="仿宋"/>
          <w:bCs/>
          <w:color w:val="auto"/>
          <w:sz w:val="32"/>
          <w:highlight w:val="none"/>
        </w:rPr>
      </w:r>
      <w:r/>
    </w:p>
    <w:p>
      <w:pPr>
        <w:pStyle w:val="849"/>
        <w:ind w:left="0" w:right="34" w:firstLine="2715"/>
        <w:spacing w:before="120"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bookmarkEnd w:id="41"/>
      <w:r/>
    </w:p>
    <w:p>
      <w:pPr>
        <w:pStyle w:val="851"/>
        <w:numPr>
          <w:ilvl w:val="0"/>
          <w:numId w:val="0"/>
        </w:numPr>
        <w:jc w:val="center"/>
        <w:spacing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szCs w:val="20"/>
          <w:highlight w:val="none"/>
          <w:lang w:val="en-US" w:eastAsia="zh-CN" w:bidi="ar-SA"/>
        </w:rPr>
        <w:t xml:space="preserve">五、</w:t>
      </w:r>
      <w:r>
        <w:rPr>
          <w:rFonts w:hint="eastAsia" w:ascii="仿宋" w:hAnsi="仿宋" w:eastAsia="仿宋" w:cs="仿宋"/>
          <w:b/>
          <w:bCs/>
          <w:color w:val="auto"/>
          <w:sz w:val="32"/>
          <w:highlight w:val="none"/>
          <w:lang w:val="en-US" w:eastAsia="zh-CN"/>
        </w:rPr>
        <w:t xml:space="preserve">人员配备表</w:t>
      </w:r>
      <w:r/>
    </w:p>
    <w:p>
      <w:pPr>
        <w:pStyle w:val="852"/>
        <w:numPr>
          <w:ilvl w:val="0"/>
          <w:numId w:val="0"/>
        </w:numPr>
        <w:rPr>
          <w:color w:val="auto"/>
          <w:highlight w:val="none"/>
          <w:lang w:val="en-US" w:eastAsia="zh-CN"/>
        </w:rPr>
      </w:pPr>
      <w:r>
        <w:rPr>
          <w:color w:val="auto"/>
          <w:highlight w:val="none"/>
          <w:lang w:val="en-US" w:eastAsia="zh-CN"/>
        </w:rPr>
      </w:r>
      <w:r/>
    </w:p>
    <w:tbl>
      <w:tblPr>
        <w:tblStyle w:val="6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016"/>
        <w:gridCol w:w="1016"/>
        <w:gridCol w:w="1016"/>
        <w:gridCol w:w="1144"/>
        <w:gridCol w:w="1057"/>
        <w:gridCol w:w="1403"/>
        <w:gridCol w:w="1531"/>
      </w:tblGrid>
      <w:tr>
        <w:trPr>
          <w:jc w:val="center"/>
          <w:trHeight w:val="480"/>
        </w:trPr>
        <w:tc>
          <w:tcPr>
            <w:tcW w:w="1009"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016" w:type="dxa"/>
            <w:vAlign w:val="top"/>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016" w:type="dxa"/>
            <w:vAlign w:val="top"/>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性别</w:t>
            </w:r>
            <w:r/>
          </w:p>
        </w:tc>
        <w:tc>
          <w:tcPr>
            <w:tcW w:w="1016"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年龄</w:t>
            </w:r>
            <w:r/>
          </w:p>
        </w:tc>
        <w:tc>
          <w:tcPr>
            <w:tcW w:w="1144" w:type="dxa"/>
            <w:vAlign w:val="center"/>
            <w:textDirection w:val="lrTb"/>
            <w:noWrap w:val="false"/>
          </w:tcPr>
          <w:p>
            <w:pPr>
              <w:ind w:firstLine="1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057"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职称</w:t>
            </w:r>
            <w:r/>
          </w:p>
        </w:tc>
        <w:tc>
          <w:tcPr>
            <w:tcW w:w="1403"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531"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876"/>
        </w:trPr>
        <w:tc>
          <w:tcPr>
            <w:tcW w:w="1009"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44"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7"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31"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1009"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44"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7"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31"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1009"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44"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7"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31"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1009"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44"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7"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31"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1009"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44"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7"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31"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1009"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44"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7"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31"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1009"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44"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7"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31"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1009"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44"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7"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31"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76"/>
        </w:trPr>
        <w:tc>
          <w:tcPr>
            <w:tcW w:w="1009"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16"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44"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7"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31" w:type="dxa"/>
            <w:vAlign w:val="top"/>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6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lang w:val="en-US" w:eastAsia="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851"/>
        <w:ind w:firstLine="948"/>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highlight w:val="none"/>
          <w:lang w:val="en-US" w:eastAsia="zh-CN"/>
        </w:rPr>
        <w:br w:type="page" w:clear="all"/>
      </w:r>
      <w:r>
        <w:rPr>
          <w:rFonts w:hint="eastAsia" w:ascii="仿宋" w:hAnsi="仿宋" w:eastAsia="仿宋" w:cs="仿宋"/>
          <w:b/>
          <w:bCs/>
          <w:color w:val="auto"/>
          <w:sz w:val="32"/>
          <w:highlight w:val="none"/>
          <w:lang w:val="en-US" w:eastAsia="zh-CN"/>
        </w:rPr>
        <w:t xml:space="preserve">六、</w:t>
      </w:r>
      <w:r>
        <w:rPr>
          <w:rFonts w:hint="eastAsia" w:ascii="仿宋" w:hAnsi="仿宋" w:eastAsia="仿宋" w:cs="仿宋"/>
          <w:b/>
          <w:color w:val="auto"/>
          <w:sz w:val="32"/>
          <w:szCs w:val="32"/>
          <w:highlight w:val="none"/>
        </w:rPr>
        <w:t xml:space="preserve">资质审查时</w:t>
      </w:r>
      <w:r>
        <w:rPr>
          <w:rFonts w:hint="eastAsia" w:ascii="仿宋" w:hAnsi="仿宋" w:eastAsia="仿宋" w:cs="仿宋"/>
          <w:b/>
          <w:bCs/>
          <w:color w:val="auto"/>
          <w:sz w:val="32"/>
          <w:szCs w:val="32"/>
          <w:highlight w:val="none"/>
        </w:rPr>
        <w:t xml:space="preserve">投标人必须提供的资格证明文件</w:t>
      </w:r>
      <w:r/>
    </w:p>
    <w:p>
      <w:pPr>
        <w:pStyle w:val="851"/>
        <w:ind w:firstLine="560"/>
        <w:spacing w:line="520" w:lineRule="exact"/>
        <w:rPr>
          <w:rFonts w:hint="eastAsia" w:ascii="仿宋" w:hAnsi="仿宋" w:eastAsia="仿宋" w:cs="仿宋"/>
          <w:b/>
          <w:bCs/>
          <w:color w:val="auto"/>
          <w:sz w:val="32"/>
          <w:szCs w:val="32"/>
          <w:highlight w:val="none"/>
          <w:lang w:eastAsia="zh-CN"/>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提供下列材料之一</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（1）投标人</w:t>
      </w:r>
      <w:r>
        <w:rPr>
          <w:rFonts w:hint="eastAsia" w:ascii="仿宋" w:hAnsi="仿宋" w:eastAsia="仿宋" w:cs="仿宋"/>
          <w:color w:val="auto"/>
          <w:sz w:val="28"/>
          <w:szCs w:val="28"/>
          <w:highlight w:val="none"/>
        </w:rPr>
        <w:t xml:space="preserve">提供</w:t>
      </w:r>
      <w:r>
        <w:rPr>
          <w:rFonts w:hint="eastAsia" w:ascii="仿宋" w:hAnsi="仿宋" w:eastAsia="仿宋" w:cs="仿宋"/>
          <w:bCs/>
          <w:color w:val="auto"/>
          <w:sz w:val="28"/>
          <w:szCs w:val="28"/>
          <w:highlight w:val="none"/>
        </w:rPr>
        <w:t xml:space="preserve">法定代表人资格证明</w:t>
      </w:r>
      <w:r>
        <w:rPr>
          <w:rFonts w:hint="eastAsia" w:ascii="仿宋" w:hAnsi="仿宋" w:eastAsia="仿宋" w:cs="仿宋"/>
          <w:color w:val="auto"/>
          <w:sz w:val="28"/>
          <w:highlight w:val="none"/>
        </w:rPr>
        <w:t xml:space="preserve">（格式详见示范格式一）和</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（2）投标人提供授权委托书（格式详见示范格式二）和</w:t>
      </w:r>
      <w:r>
        <w:rPr>
          <w:rFonts w:hint="eastAsia" w:ascii="仿宋" w:hAnsi="仿宋" w:eastAsia="仿宋" w:cs="仿宋"/>
          <w:bCs/>
          <w:color w:val="auto"/>
          <w:sz w:val="28"/>
          <w:szCs w:val="28"/>
          <w:highlight w:val="none"/>
        </w:rPr>
        <w:t xml:space="preserve">受托人身份证（加盖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560"/>
        <w:spacing w:line="520" w:lineRule="exact"/>
        <w:rPr>
          <w:rFonts w:hint="eastAsia" w:ascii="仿宋" w:hAnsi="仿宋" w:eastAsia="仿宋" w:cs="仿宋"/>
          <w:color w:val="auto"/>
          <w:sz w:val="28"/>
          <w:highlight w:val="none"/>
          <w:lang w:val="zh-CN"/>
        </w:rPr>
      </w:pPr>
      <w:r>
        <w:rPr>
          <w:rFonts w:hint="eastAsia" w:ascii="仿宋" w:hAnsi="仿宋" w:eastAsia="仿宋" w:cs="仿宋"/>
          <w:color w:val="auto"/>
          <w:sz w:val="28"/>
          <w:highlight w:val="none"/>
          <w:lang w:eastAsia="zh-CN"/>
        </w:rPr>
        <w:t xml:space="preserve">2.</w:t>
      </w:r>
      <w:r>
        <w:rPr>
          <w:rFonts w:hint="eastAsia" w:ascii="仿宋" w:hAnsi="仿宋" w:eastAsia="仿宋" w:cs="仿宋"/>
          <w:color w:val="auto"/>
          <w:sz w:val="28"/>
          <w:highlight w:val="none"/>
        </w:rPr>
        <w:t xml:space="preserve">投标人符合《</w:t>
      </w:r>
      <w:r>
        <w:rPr>
          <w:rFonts w:hint="eastAsia" w:ascii="仿宋" w:hAnsi="仿宋" w:eastAsia="仿宋" w:cs="仿宋"/>
          <w:color w:val="auto"/>
          <w:sz w:val="28"/>
          <w:highlight w:val="none"/>
          <w:lang w:eastAsia="zh-CN"/>
        </w:rPr>
        <w:t xml:space="preserve">中华人民共和国政府采购法</w:t>
      </w:r>
      <w:r>
        <w:rPr>
          <w:rFonts w:hint="eastAsia" w:ascii="仿宋" w:hAnsi="仿宋" w:eastAsia="仿宋" w:cs="仿宋"/>
          <w:color w:val="auto"/>
          <w:sz w:val="28"/>
          <w:highlight w:val="none"/>
        </w:rPr>
        <w:t xml:space="preserve">》第二十二条规定条件的承诺函</w:t>
      </w:r>
      <w:r>
        <w:rPr>
          <w:rFonts w:hint="eastAsia" w:ascii="仿宋" w:hAnsi="仿宋" w:eastAsia="仿宋" w:cs="仿宋"/>
          <w:color w:val="auto"/>
          <w:sz w:val="28"/>
          <w:highlight w:val="none"/>
          <w:lang w:val="zh-CN"/>
        </w:rPr>
        <w:t xml:space="preserve">（</w:t>
      </w:r>
      <w:r>
        <w:rPr>
          <w:rFonts w:hint="eastAsia" w:ascii="仿宋" w:hAnsi="仿宋" w:eastAsia="仿宋" w:cs="仿宋"/>
          <w:color w:val="auto"/>
          <w:sz w:val="28"/>
          <w:highlight w:val="none"/>
        </w:rPr>
        <w:t xml:space="preserve">格式详见示范格式三</w:t>
      </w:r>
      <w:r>
        <w:rPr>
          <w:rFonts w:hint="eastAsia" w:ascii="仿宋" w:hAnsi="仿宋" w:eastAsia="仿宋" w:cs="仿宋"/>
          <w:color w:val="auto"/>
          <w:sz w:val="28"/>
          <w:highlight w:val="none"/>
          <w:lang w:eastAsia="zh-CN"/>
        </w:rPr>
        <w:t xml:space="preserve">，</w:t>
      </w:r>
      <w:r>
        <w:rPr>
          <w:rFonts w:hint="eastAsia" w:ascii="仿宋" w:hAnsi="仿宋" w:eastAsia="仿宋" w:cs="仿宋"/>
          <w:bCs/>
          <w:color w:val="auto"/>
          <w:sz w:val="28"/>
          <w:szCs w:val="28"/>
          <w:highlight w:val="none"/>
        </w:rPr>
        <w:t xml:space="preserve">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lang w:val="zh-CN"/>
        </w:rPr>
        <w:t xml:space="preserve">）；</w:t>
      </w:r>
      <w:r/>
    </w:p>
    <w:p>
      <w:pPr>
        <w:ind w:firstLine="560"/>
        <w:spacing w:line="520" w:lineRule="exact"/>
        <w:rPr>
          <w:rFonts w:hint="eastAsia" w:ascii="仿宋" w:hAnsi="仿宋" w:eastAsia="仿宋" w:cs="仿宋"/>
          <w:color w:val="auto"/>
          <w:sz w:val="28"/>
          <w:highlight w:val="none"/>
          <w:lang w:val="zh-CN" w:eastAsia="zh-CN"/>
        </w:rPr>
      </w:pPr>
      <w:r>
        <w:rPr>
          <w:rFonts w:hint="eastAsia" w:ascii="仿宋" w:hAnsi="仿宋" w:eastAsia="仿宋" w:cs="仿宋"/>
          <w:color w:val="auto"/>
          <w:sz w:val="28"/>
          <w:highlight w:val="none"/>
          <w:lang w:val="zh-CN"/>
        </w:rPr>
        <w:t xml:space="preserve">3.</w:t>
      </w:r>
      <w:r>
        <w:rPr>
          <w:rFonts w:hint="eastAsia" w:ascii="仿宋" w:hAnsi="仿宋" w:eastAsia="仿宋" w:cs="仿宋"/>
          <w:color w:val="auto"/>
          <w:sz w:val="28"/>
          <w:highlight w:val="none"/>
        </w:rPr>
        <w:t xml:space="preserve">提供法人或者其他组织的</w:t>
      </w:r>
      <w:r>
        <w:rPr>
          <w:rFonts w:hint="eastAsia" w:ascii="仿宋" w:hAnsi="仿宋" w:eastAsia="仿宋" w:cs="仿宋"/>
          <w:color w:val="auto"/>
          <w:sz w:val="28"/>
          <w:szCs w:val="28"/>
          <w:highlight w:val="none"/>
        </w:rPr>
        <w:t xml:space="preserve">营业执照、税务登记证、组织机构代码证或已办理三证合一的营业执照</w:t>
      </w:r>
      <w:r>
        <w:rPr>
          <w:rFonts w:hint="eastAsia" w:ascii="仿宋" w:hAnsi="仿宋" w:eastAsia="仿宋" w:cs="仿宋"/>
          <w:bCs/>
          <w:color w:val="auto"/>
          <w:sz w:val="28"/>
          <w:szCs w:val="28"/>
          <w:highlight w:val="none"/>
        </w:rPr>
        <w:t xml:space="preserve">（加盖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bCs/>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szCs w:val="28"/>
          <w:highlight w:val="none"/>
        </w:rPr>
        <w:t xml:space="preserve">落实政府采购政策需满足的资格要求（提供下列任一项材料即可，</w:t>
      </w:r>
      <w:r>
        <w:rPr>
          <w:rFonts w:hint="eastAsia" w:ascii="仿宋" w:hAnsi="仿宋" w:eastAsia="仿宋" w:cs="仿宋"/>
          <w:color w:val="auto"/>
          <w:sz w:val="28"/>
          <w:szCs w:val="28"/>
          <w:highlight w:val="none"/>
          <w:lang w:val="zh-CN"/>
        </w:rPr>
        <w:t xml:space="preserve">非专门面向中小企业或者预留份额的采购项目，本项无需提供</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（1）企业声明函（详见示范格式四）；</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（3）由省级以上监狱管理局、戒毒管理局（含新疆生产建设兵团）出具的属于监狱企业的证明文件）（加盖出具单位公章的电子件）。</w:t>
      </w:r>
      <w:r/>
    </w:p>
    <w:p>
      <w:pPr>
        <w:jc w:val="lef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1428"/>
        <w:jc w:val="left"/>
        <w:spacing w:line="520" w:lineRule="exact"/>
        <w:widowControl/>
        <w:rPr>
          <w:rFonts w:hint="eastAsia" w:ascii="仿宋" w:hAnsi="仿宋" w:eastAsia="仿宋" w:cs="仿宋"/>
          <w:b/>
          <w:bCs/>
          <w:color w:val="auto"/>
          <w:sz w:val="32"/>
          <w:highlight w:val="none"/>
        </w:rPr>
      </w:pPr>
      <w:r>
        <w:rPr>
          <w:rFonts w:hint="eastAsia" w:ascii="仿宋" w:hAnsi="仿宋" w:eastAsia="仿宋" w:cs="仿宋"/>
          <w:b/>
          <w:color w:val="auto"/>
          <w:sz w:val="36"/>
          <w:highlight w:val="none"/>
        </w:rPr>
        <w:br w:type="page" w:clear="all"/>
      </w:r>
      <w:bookmarkStart w:id="42" w:name="_Toc157775454"/>
      <w:r>
        <w:rPr>
          <w:rFonts w:hint="eastAsia" w:ascii="仿宋" w:hAnsi="仿宋" w:eastAsia="仿宋" w:cs="仿宋"/>
          <w:b/>
          <w:bCs/>
          <w:color w:val="auto"/>
          <w:sz w:val="32"/>
          <w:highlight w:val="none"/>
          <w:lang w:val="en-US" w:eastAsia="zh-CN"/>
        </w:rPr>
        <w:t xml:space="preserve">七</w:t>
      </w:r>
      <w:r>
        <w:rPr>
          <w:rFonts w:hint="eastAsia" w:ascii="仿宋" w:hAnsi="仿宋" w:eastAsia="仿宋" w:cs="仿宋"/>
          <w:b/>
          <w:bCs/>
          <w:color w:val="auto"/>
          <w:sz w:val="32"/>
          <w:highlight w:val="none"/>
        </w:rPr>
        <w:t xml:space="preserve">、综合评分时投标人需提供的证明文件</w:t>
      </w:r>
      <w:r/>
    </w:p>
    <w:p>
      <w:pPr>
        <w:ind w:firstLine="84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（投标人根据第三章评标标准的要求提供相关材料）</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keepLines w:val="0"/>
        <w:keepNext w:val="0"/>
        <w:pageBreakBefore w:val="0"/>
        <w:spacing w:line="440" w:lineRule="exact"/>
        <w:widowControl w:val="off"/>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八</w:t>
      </w:r>
      <w:r>
        <w:rPr>
          <w:rFonts w:hint="eastAsia" w:ascii="仿宋" w:hAnsi="仿宋" w:eastAsia="仿宋" w:cs="仿宋"/>
          <w:b/>
          <w:color w:val="auto"/>
          <w:sz w:val="32"/>
          <w:szCs w:val="32"/>
          <w:highlight w:val="none"/>
        </w:rPr>
        <w:t xml:space="preserve">、</w:t>
      </w:r>
      <w:r>
        <w:rPr>
          <w:rFonts w:hint="eastAsia" w:ascii="仿宋" w:hAnsi="仿宋" w:eastAsia="仿宋" w:cs="仿宋"/>
          <w:b/>
          <w:color w:val="auto"/>
          <w:sz w:val="32"/>
          <w:szCs w:val="32"/>
          <w:highlight w:val="none"/>
          <w:lang w:val="en-US" w:eastAsia="zh-CN"/>
        </w:rPr>
        <w:t xml:space="preserve">涉及无效投标时投标人必须提供的证明材料</w:t>
      </w:r>
      <w:r/>
    </w:p>
    <w:p>
      <w:pPr>
        <w:jc w:val="cente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lang w:val="en-US" w:eastAsia="zh-CN"/>
        </w:rPr>
        <w:t xml:space="preserve">九、</w:t>
      </w:r>
      <w:r>
        <w:rPr>
          <w:rFonts w:hint="eastAsia" w:ascii="仿宋" w:hAnsi="仿宋" w:eastAsia="仿宋" w:cs="仿宋"/>
          <w:b/>
          <w:color w:val="auto"/>
          <w:sz w:val="32"/>
          <w:szCs w:val="32"/>
          <w:highlight w:val="none"/>
        </w:rPr>
        <w:t xml:space="preserve">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bookmarkEnd w:id="42"/>
      <w:r/>
    </w:p>
    <w:p>
      <w:pPr>
        <w:ind w:firstLine="2891"/>
        <w:spacing w:line="64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920"/>
        <w:ind w:left="4760" w:right="560" w:hanging="182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cs="仿宋"/>
          <w:bCs/>
          <w:color w:val="auto"/>
          <w:sz w:val="28"/>
          <w:highlight w:val="none"/>
          <w:lang w:eastAsia="zh-CN"/>
        </w:rPr>
        <w:t xml:space="preserve">：</w:t>
      </w:r>
      <w:r>
        <w:rPr>
          <w:rFonts w:hint="eastAsia" w:ascii="仿宋" w:hAnsi="仿宋" w:eastAsia="仿宋" w:cs="仿宋"/>
          <w:bCs/>
          <w:color w:val="auto"/>
          <w:sz w:val="28"/>
          <w:highlight w:val="none"/>
        </w:rPr>
        <w:t xml:space="preserve">投标人法定代表人</w:t>
      </w:r>
      <w:r>
        <w:rPr>
          <w:rFonts w:hint="eastAsia" w:ascii="仿宋" w:hAnsi="仿宋" w:eastAsia="仿宋" w:cs="仿宋"/>
          <w:bCs/>
          <w:color w:val="auto"/>
          <w:sz w:val="28"/>
          <w:szCs w:val="28"/>
          <w:highlight w:val="none"/>
        </w:rPr>
        <w:t xml:space="preserve">参加投标的，必须附</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身份证扫描件加盖投标人电子签章。</w:t>
      </w:r>
      <w:r>
        <w:rPr>
          <w:rFonts w:hint="eastAsia" w:ascii="仿宋" w:hAnsi="仿宋" w:eastAsia="仿宋" w:cs="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ind w:firstLine="3213"/>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hint="eastAsia" w:ascii="仿宋" w:hAnsi="仿宋" w:eastAsia="仿宋" w:cs="仿宋"/>
          <w:bCs/>
          <w:color w:val="auto"/>
          <w:sz w:val="30"/>
          <w:szCs w:val="28"/>
          <w:highlight w:val="none"/>
          <w:lang w:eastAsia="zh-CN"/>
        </w:rPr>
      </w:pPr>
      <w:r>
        <w:rPr>
          <w:rFonts w:hint="eastAsia" w:ascii="仿宋" w:hAnsi="仿宋" w:eastAsia="仿宋" w:cs="仿宋"/>
          <w:bCs/>
          <w:color w:val="auto"/>
          <w:sz w:val="30"/>
          <w:szCs w:val="28"/>
          <w:highlight w:val="none"/>
        </w:rPr>
        <w:t xml:space="preserve">致</w:t>
      </w:r>
      <w:r>
        <w:rPr>
          <w:rFonts w:hint="eastAsia" w:ascii="仿宋" w:hAnsi="仿宋" w:eastAsia="仿宋" w:cs="仿宋"/>
          <w:bCs/>
          <w:color w:val="auto"/>
          <w:sz w:val="30"/>
          <w:szCs w:val="28"/>
          <w:highlight w:val="none"/>
          <w:lang w:eastAsia="zh-CN"/>
        </w:rPr>
        <w:t xml:space="preserve">淮安市博物馆：</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color w:val="auto"/>
          <w:sz w:val="28"/>
          <w:szCs w:val="28"/>
          <w:highlight w:val="none"/>
          <w:lang w:eastAsia="zh-CN"/>
        </w:rPr>
        <w:t xml:space="preserve">淮安万顺工程项目咨询管理有限公司</w:t>
      </w:r>
      <w:r>
        <w:rPr>
          <w:rFonts w:hint="eastAsia" w:ascii="仿宋" w:hAnsi="仿宋" w:eastAsia="仿宋" w:cs="仿宋"/>
          <w:color w:val="auto"/>
          <w:sz w:val="28"/>
          <w:szCs w:val="28"/>
          <w:highlight w:val="none"/>
        </w:rPr>
        <w:t xml:space="preserve">组织的（项目编号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auto"/>
          <w:sz w:val="28"/>
          <w:szCs w:val="28"/>
          <w:highlight w:val="none"/>
          <w:lang w:eastAsia="zh-CN"/>
        </w:rPr>
        <w:t xml:space="preserve">采购代理机构</w:t>
      </w:r>
      <w:r>
        <w:rPr>
          <w:rFonts w:hint="eastAsia" w:ascii="仿宋" w:hAnsi="仿宋" w:eastAsia="仿宋" w:cs="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至上述事宜处理完毕止。</w:t>
      </w:r>
      <w:r/>
    </w:p>
    <w:p>
      <w:pPr>
        <w:ind w:firstLine="60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left="-359" w:firstLine="548"/>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cs="仿宋"/>
          <w:bCs/>
          <w:color w:val="auto"/>
          <w:sz w:val="28"/>
          <w:highlight w:val="none"/>
          <w:lang w:eastAsia="zh-CN"/>
        </w:rPr>
        <w:t xml:space="preserve">：</w:t>
      </w:r>
      <w:r>
        <w:rPr>
          <w:rFonts w:hint="eastAsia" w:ascii="仿宋" w:hAnsi="仿宋" w:eastAsia="仿宋" w:cs="仿宋"/>
          <w:bCs/>
          <w:color w:val="auto"/>
          <w:sz w:val="28"/>
          <w:highlight w:val="none"/>
        </w:rPr>
        <w:t xml:space="preserve">投标人委托</w:t>
      </w:r>
      <w:r>
        <w:rPr>
          <w:rFonts w:hint="eastAsia" w:ascii="仿宋" w:hAnsi="仿宋" w:eastAsia="仿宋" w:cs="仿宋"/>
          <w:bCs/>
          <w:color w:val="auto"/>
          <w:sz w:val="28"/>
          <w:szCs w:val="28"/>
          <w:highlight w:val="none"/>
        </w:rPr>
        <w:t xml:space="preserve">受托人参加投标的，必须附受托人身份证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件加盖投标人电子签章。</w:t>
      </w:r>
      <w:r>
        <w:rPr>
          <w:rFonts w:hint="eastAsia" w:ascii="仿宋" w:hAnsi="仿宋" w:eastAsia="仿宋" w:cs="仿宋"/>
          <w:color w:val="auto"/>
          <w:sz w:val="28"/>
          <w:szCs w:val="28"/>
          <w:highlight w:val="none"/>
        </w:rPr>
        <w:t xml:space="preserve">法定代表人直接参加投标的，仅需填写“法定代表人资格证明”。</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示范格式三</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》第二十二条规定条件的</w:t>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承诺</w:t>
      </w:r>
      <w:r>
        <w:rPr>
          <w:rFonts w:hint="eastAsia" w:ascii="仿宋" w:hAnsi="仿宋" w:eastAsia="仿宋" w:cs="仿宋"/>
          <w:b/>
          <w:bCs/>
          <w:color w:val="auto"/>
          <w:sz w:val="32"/>
          <w:highlight w:val="none"/>
        </w:rPr>
        <w:t xml:space="preserve">函</w:t>
      </w:r>
      <w:r/>
    </w:p>
    <w:p>
      <w:pPr>
        <w:pStyle w:val="841"/>
        <w:ind w:firstLine="0"/>
        <w:spacing w:line="72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淮安市博物馆：</w:t>
      </w:r>
      <w:r/>
    </w:p>
    <w:p>
      <w:pPr>
        <w:ind w:firstLine="8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w:t>
      </w:r>
      <w:r>
        <w:rPr>
          <w:rFonts w:hint="eastAsia" w:ascii="仿宋" w:hAnsi="仿宋" w:eastAsia="仿宋" w:cs="仿宋"/>
          <w:color w:val="auto"/>
          <w:sz w:val="28"/>
          <w:szCs w:val="28"/>
          <w:highlight w:val="none"/>
          <w:lang w:val="en-US" w:eastAsia="zh-CN"/>
        </w:rPr>
        <w:t xml:space="preserve">单位</w:t>
      </w:r>
      <w:r>
        <w:rPr>
          <w:rFonts w:hint="eastAsia" w:ascii="仿宋" w:hAnsi="仿宋" w:eastAsia="仿宋" w:cs="仿宋"/>
          <w:color w:val="auto"/>
          <w:sz w:val="28"/>
          <w:szCs w:val="28"/>
          <w:highlight w:val="none"/>
        </w:rPr>
        <w:t xml:space="preserve">组织实施的（项目编号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w:t>
      </w:r>
      <w:r>
        <w:rPr>
          <w:rFonts w:hint="eastAsia" w:ascii="仿宋" w:hAnsi="仿宋" w:eastAsia="仿宋" w:cs="仿宋"/>
          <w:color w:val="auto"/>
          <w:sz w:val="28"/>
          <w:szCs w:val="28"/>
          <w:highlight w:val="none"/>
          <w:lang w:val="en-US" w:eastAsia="zh-CN"/>
        </w:rPr>
        <w:t xml:space="preserve">承诺</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我单位具有独立承担民事责任的能力；</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我单位具有良好的商业信誉和健全的财务会计制度；</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我单位具有履行合同所必需的设备和专业技术能力；</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我单位有依法缴纳税收和社会保障资金的良好记录；</w:t>
      </w:r>
      <w:r/>
    </w:p>
    <w:p>
      <w:pPr>
        <w:ind w:firstLine="560"/>
        <w:jc w:val="left"/>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638"/>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我单位满足法律、行政法规规定的其他条件。</w:t>
      </w:r>
      <w:r/>
    </w:p>
    <w:p>
      <w:pPr>
        <w:keepLines w:val="0"/>
        <w:keepNext w:val="0"/>
        <w:pageBreakBefore w:val="0"/>
        <w:spacing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jc w:val="both"/>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480"/>
        <w:jc w:val="both"/>
        <w:spacing w:line="640" w:lineRule="exact"/>
        <w:rPr>
          <w:rFonts w:hint="eastAsia" w:ascii="仿宋" w:hAnsi="仿宋" w:eastAsia="仿宋" w:cs="仿宋"/>
          <w:color w:val="auto"/>
          <w:sz w:val="28"/>
          <w:szCs w:val="28"/>
          <w:highlight w:val="none"/>
          <w:u w:val="single"/>
          <w:lang w:val="zh-CN"/>
        </w:rPr>
      </w:pPr>
      <w:r>
        <w:rPr>
          <w:rFonts w:hint="eastAsia" w:ascii="仿宋" w:hAnsi="仿宋" w:eastAsia="仿宋" w:cs="仿宋"/>
          <w:color w:val="auto"/>
          <w:sz w:val="28"/>
          <w:szCs w:val="28"/>
          <w:highlight w:val="none"/>
        </w:rPr>
        <w:t xml:space="preserve">承诺人</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u w:val="single"/>
          <w:lang w:val="zh-CN"/>
        </w:rPr>
        <w:t xml:space="preserve">     （电子签章）    </w:t>
      </w:r>
      <w:r/>
    </w:p>
    <w:p>
      <w:pPr>
        <w:ind w:firstLine="4480"/>
        <w:jc w:val="both"/>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示范格式四</w:t>
      </w:r>
      <w:r>
        <w:rPr>
          <w:rFonts w:hint="eastAsia" w:ascii="仿宋" w:hAnsi="仿宋" w:eastAsia="仿宋" w:cs="仿宋"/>
          <w:color w:val="auto"/>
          <w:sz w:val="28"/>
          <w:szCs w:val="28"/>
          <w:highlight w:val="none"/>
        </w:rPr>
        <w:t xml:space="preserve">                                           </w:t>
      </w:r>
      <w:r/>
    </w:p>
    <w:p>
      <w:pPr>
        <w:numPr>
          <w:ilvl w:val="0"/>
          <w:numId w:val="0"/>
        </w:num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企业声明函（货物类）</w:t>
      </w:r>
      <w:r/>
    </w:p>
    <w:p>
      <w:pPr>
        <w:pStyle w:val="841"/>
        <w:ind w:firstLine="0"/>
        <w:spacing w:line="60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淮安市博物馆：</w:t>
      </w:r>
      <w:r/>
    </w:p>
    <w:p>
      <w:pPr>
        <w:pStyle w:val="84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（项目名称）</w:t>
      </w:r>
      <w:r>
        <w:rPr>
          <w:rFonts w:hint="eastAsia" w:ascii="仿宋" w:hAnsi="仿宋" w:eastAsia="仿宋" w:cs="仿宋"/>
          <w:bCs/>
          <w:color w:val="auto"/>
          <w:sz w:val="28"/>
          <w:szCs w:val="28"/>
          <w:highlight w:val="none"/>
        </w:rPr>
        <w:t xml:space="preserve">采购活动，提供的货物全部由符合政策要求的中小企业制造。相关企业的具体情况如下： </w:t>
      </w:r>
      <w:r/>
    </w:p>
    <w:p>
      <w:pPr>
        <w:pStyle w:val="84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 xml:space="preserve">（标的名称）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 xml:space="preserve">（采购文件中明确的所属行业）</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84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，属于（采购文件中明确的所属行业）行业；制造商为（企业名称），从业人员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84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84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84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84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注：从业人员、营业收入、资产总额填报上一年度数据，无上一年度数据的新成立企业可不填报。</w:t>
      </w:r>
      <w:r/>
    </w:p>
    <w:p>
      <w:pPr>
        <w:pStyle w:val="841"/>
        <w:ind w:firstLine="0"/>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示范格式五</w:t>
      </w:r>
      <w:r/>
    </w:p>
    <w:p>
      <w:pPr>
        <w:jc w:val="center"/>
        <w:spacing w:line="64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 xml:space="preserve">残疾人福利性单位声明函</w:t>
      </w:r>
      <w:r/>
    </w:p>
    <w:p>
      <w:pPr>
        <w:pStyle w:val="841"/>
        <w:ind w:firstLine="0"/>
        <w:spacing w:line="64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淮安市博物馆：</w:t>
      </w:r>
      <w:r/>
    </w:p>
    <w:p>
      <w:pPr>
        <w:pStyle w:val="841"/>
        <w:ind w:firstLine="560"/>
        <w:spacing w:line="64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auto"/>
          <w:sz w:val="28"/>
          <w:szCs w:val="28"/>
          <w:highlight w:val="none"/>
          <w:lang w:eastAsia="zh-CN"/>
        </w:rPr>
        <w:t xml:space="preserve">：</w:t>
      </w:r>
      <w:r/>
    </w:p>
    <w:p>
      <w:pPr>
        <w:pStyle w:val="84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1.</w:t>
      </w:r>
      <w:r>
        <w:rPr>
          <w:rFonts w:hint="eastAsia" w:ascii="仿宋" w:hAnsi="仿宋" w:eastAsia="仿宋" w:cs="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4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2.</w:t>
      </w:r>
      <w:r>
        <w:rPr>
          <w:rFonts w:hint="eastAsia" w:ascii="仿宋" w:hAnsi="仿宋" w:eastAsia="仿宋" w:cs="仿宋"/>
          <w:bCs/>
          <w:color w:val="auto"/>
          <w:sz w:val="28"/>
          <w:szCs w:val="28"/>
          <w:highlight w:val="none"/>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4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本公司对上述声明的真实性负责。如有虚假，将依法承担相应责任。</w:t>
      </w:r>
      <w:r/>
    </w:p>
    <w:p>
      <w:pPr>
        <w:pStyle w:val="841"/>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sectPr>
      <w:headerReference w:type="default" r:id="rId9"/>
      <w:footerReference w:type="default" r:id="rId10"/>
      <w:footerReference w:type="even" r:id="rId11"/>
      <w:footnotePr/>
      <w:endnotePr/>
      <w:type w:val="nextPage"/>
      <w:pgSz w:w="11906" w:h="16838" w:orient="portrait"/>
      <w:pgMar w:top="1560" w:right="1418"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行楷">
    <w:panose1 w:val="02010800040101010101"/>
  </w:font>
  <w:font w:name="Tahoma">
    <w:panose1 w:val="020B0604030504040204"/>
  </w:font>
  <w:font w:name="Constantia">
    <w:panose1 w:val="02030602050306030303"/>
  </w:font>
  <w:font w:name="仿宋">
    <w:panose1 w:val="02010609060101010101"/>
  </w:font>
  <w:font w:name="Courier New">
    <w:panose1 w:val="02070309020205020404"/>
  </w:font>
  <w:font w:name="楷体_GB2312">
    <w:panose1 w:val="02010609060101010101"/>
  </w:font>
  <w:font w:name="华文彩云">
    <w:panose1 w:val="02010800040101010101"/>
  </w:font>
  <w:font w:name="Calibri">
    <w:panose1 w:val="020F050202020403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1"/>
      </w:rPr>
      <w:framePr w:wrap="around" w:vAnchor="text" w:hAnchor="margin" w:xAlign="center" w:y="1"/>
    </w:pPr>
    <w:r>
      <w:fldChar w:fldCharType="begin"/>
    </w:r>
    <w:r>
      <w:rPr>
        <w:rStyle w:val="871"/>
      </w:rPr>
      <w:instrText xml:space="preserve">PAGE  </w:instrText>
    </w:r>
    <w:r>
      <w:fldChar w:fldCharType="separate"/>
    </w:r>
    <w:r>
      <w:rPr>
        <w:rStyle w:val="871"/>
      </w:rPr>
      <w:t xml:space="preserve">50</w:t>
    </w:r>
    <w:r>
      <w:fldChar w:fldCharType="end"/>
    </w:r>
    <w:r/>
  </w:p>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1"/>
      </w:rPr>
      <w:framePr w:wrap="around" w:vAnchor="text" w:hAnchor="margin" w:xAlign="center" w:y="1"/>
    </w:pPr>
    <w:r>
      <w:fldChar w:fldCharType="begin"/>
    </w:r>
    <w:r>
      <w:rPr>
        <w:rStyle w:val="871"/>
      </w:rPr>
      <w:instrText xml:space="preserve">PAGE  </w:instrText>
    </w:r>
    <w:r>
      <w:fldChar w:fldCharType="end"/>
    </w:r>
    <w:r/>
  </w:p>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09"/>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chineseCountingThousand"/>
      <w:pStyle w:val="91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911"/>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9" w:default="1">
    <w:name w:val="Normal"/>
    <w:link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0">
    <w:name w:val="Heading 1"/>
    <w:basedOn w:val="649"/>
    <w:next w:val="649"/>
    <w:link w:val="683"/>
    <w:uiPriority w:val="9"/>
    <w:qFormat/>
    <w:pPr>
      <w:keepLines/>
      <w:keepNext/>
      <w:spacing w:before="480" w:after="200"/>
      <w:outlineLvl w:val="0"/>
    </w:pPr>
    <w:rPr>
      <w:rFonts w:ascii="Arial" w:hAnsi="Arial" w:eastAsia="Arial" w:cs="Arial"/>
      <w:sz w:val="40"/>
      <w:szCs w:val="40"/>
    </w:rPr>
  </w:style>
  <w:style w:type="paragraph" w:styleId="651">
    <w:name w:val="Heading 2"/>
    <w:basedOn w:val="649"/>
    <w:next w:val="649"/>
    <w:link w:val="684"/>
    <w:uiPriority w:val="9"/>
    <w:unhideWhenUsed/>
    <w:qFormat/>
    <w:pPr>
      <w:keepLines/>
      <w:keepNext/>
      <w:spacing w:before="360" w:after="200"/>
      <w:outlineLvl w:val="1"/>
    </w:pPr>
    <w:rPr>
      <w:rFonts w:ascii="Arial" w:hAnsi="Arial" w:eastAsia="Arial" w:cs="Arial"/>
      <w:sz w:val="34"/>
    </w:rPr>
  </w:style>
  <w:style w:type="paragraph" w:styleId="652">
    <w:name w:val="Heading 3"/>
    <w:basedOn w:val="649"/>
    <w:next w:val="649"/>
    <w:link w:val="685"/>
    <w:uiPriority w:val="9"/>
    <w:unhideWhenUsed/>
    <w:qFormat/>
    <w:pPr>
      <w:keepLines/>
      <w:keepNext/>
      <w:spacing w:before="320" w:after="200"/>
      <w:outlineLvl w:val="2"/>
    </w:pPr>
    <w:rPr>
      <w:rFonts w:ascii="Arial" w:hAnsi="Arial" w:eastAsia="Arial" w:cs="Arial"/>
      <w:sz w:val="30"/>
      <w:szCs w:val="30"/>
    </w:rPr>
  </w:style>
  <w:style w:type="paragraph" w:styleId="653">
    <w:name w:val="Heading 4"/>
    <w:basedOn w:val="649"/>
    <w:next w:val="649"/>
    <w:link w:val="686"/>
    <w:uiPriority w:val="9"/>
    <w:unhideWhenUsed/>
    <w:qFormat/>
    <w:pPr>
      <w:keepLines/>
      <w:keepNext/>
      <w:spacing w:before="320" w:after="200"/>
      <w:outlineLvl w:val="3"/>
    </w:pPr>
    <w:rPr>
      <w:rFonts w:ascii="Arial" w:hAnsi="Arial" w:eastAsia="Arial" w:cs="Arial"/>
      <w:b/>
      <w:bCs/>
      <w:sz w:val="26"/>
      <w:szCs w:val="26"/>
    </w:rPr>
  </w:style>
  <w:style w:type="paragraph" w:styleId="654">
    <w:name w:val="Heading 5"/>
    <w:basedOn w:val="649"/>
    <w:next w:val="649"/>
    <w:link w:val="687"/>
    <w:uiPriority w:val="9"/>
    <w:unhideWhenUsed/>
    <w:qFormat/>
    <w:pPr>
      <w:keepLines/>
      <w:keepNext/>
      <w:spacing w:before="320" w:after="200"/>
      <w:outlineLvl w:val="4"/>
    </w:pPr>
    <w:rPr>
      <w:rFonts w:ascii="Arial" w:hAnsi="Arial" w:eastAsia="Arial" w:cs="Arial"/>
      <w:b/>
      <w:bCs/>
      <w:sz w:val="24"/>
      <w:szCs w:val="24"/>
    </w:rPr>
  </w:style>
  <w:style w:type="paragraph" w:styleId="655">
    <w:name w:val="Heading 6"/>
    <w:basedOn w:val="649"/>
    <w:next w:val="649"/>
    <w:link w:val="688"/>
    <w:uiPriority w:val="9"/>
    <w:unhideWhenUsed/>
    <w:qFormat/>
    <w:pPr>
      <w:keepLines/>
      <w:keepNext/>
      <w:spacing w:before="320" w:after="200"/>
      <w:outlineLvl w:val="5"/>
    </w:pPr>
    <w:rPr>
      <w:rFonts w:ascii="Arial" w:hAnsi="Arial" w:eastAsia="Arial" w:cs="Arial"/>
      <w:b/>
      <w:bCs/>
      <w:sz w:val="22"/>
      <w:szCs w:val="22"/>
    </w:rPr>
  </w:style>
  <w:style w:type="paragraph" w:styleId="656">
    <w:name w:val="Heading 7"/>
    <w:basedOn w:val="649"/>
    <w:next w:val="649"/>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Heading 8"/>
    <w:basedOn w:val="649"/>
    <w:next w:val="649"/>
    <w:link w:val="690"/>
    <w:uiPriority w:val="9"/>
    <w:unhideWhenUsed/>
    <w:qFormat/>
    <w:pPr>
      <w:keepLines/>
      <w:keepNext/>
      <w:spacing w:before="320" w:after="200"/>
      <w:outlineLvl w:val="7"/>
    </w:pPr>
    <w:rPr>
      <w:rFonts w:ascii="Arial" w:hAnsi="Arial" w:eastAsia="Arial" w:cs="Arial"/>
      <w:i/>
      <w:iCs/>
      <w:sz w:val="22"/>
      <w:szCs w:val="22"/>
    </w:rPr>
  </w:style>
  <w:style w:type="paragraph" w:styleId="658">
    <w:name w:val="Heading 9"/>
    <w:basedOn w:val="649"/>
    <w:next w:val="649"/>
    <w:link w:val="691"/>
    <w:uiPriority w:val="9"/>
    <w:unhideWhenUsed/>
    <w:qFormat/>
    <w:pPr>
      <w:keepLines/>
      <w:keepNext/>
      <w:spacing w:before="320" w:after="200"/>
      <w:outlineLvl w:val="8"/>
    </w:pPr>
    <w:rPr>
      <w:rFonts w:ascii="Arial" w:hAnsi="Arial" w:eastAsia="Arial" w:cs="Arial"/>
      <w:i/>
      <w:iCs/>
      <w:sz w:val="21"/>
      <w:szCs w:val="21"/>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toc 7"/>
    <w:basedOn w:val="649"/>
    <w:next w:val="649"/>
    <w:uiPriority w:val="39"/>
    <w:unhideWhenUsed/>
    <w:qFormat/>
    <w:pPr>
      <w:ind w:left="1701" w:right="0" w:firstLine="0"/>
      <w:spacing w:after="57"/>
    </w:pPr>
  </w:style>
  <w:style w:type="paragraph" w:styleId="662">
    <w:name w:val="Caption"/>
    <w:basedOn w:val="649"/>
    <w:next w:val="6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Body Text"/>
    <w:basedOn w:val="649"/>
    <w:next w:val="649"/>
    <w:uiPriority w:val="0"/>
    <w:qFormat/>
    <w:pPr>
      <w:jc w:val="center"/>
    </w:pPr>
    <w:rPr>
      <w:rFonts w:eastAsia="幼圆"/>
      <w:b/>
      <w:bCs/>
      <w:sz w:val="44"/>
    </w:rPr>
  </w:style>
  <w:style w:type="paragraph" w:styleId="664">
    <w:name w:val="toc 5"/>
    <w:basedOn w:val="649"/>
    <w:next w:val="649"/>
    <w:uiPriority w:val="39"/>
    <w:unhideWhenUsed/>
    <w:qFormat/>
    <w:pPr>
      <w:ind w:left="1134" w:right="0" w:firstLine="0"/>
      <w:spacing w:after="57"/>
    </w:pPr>
  </w:style>
  <w:style w:type="paragraph" w:styleId="665">
    <w:name w:val="toc 3"/>
    <w:basedOn w:val="649"/>
    <w:next w:val="649"/>
    <w:uiPriority w:val="39"/>
    <w:unhideWhenUsed/>
    <w:qFormat/>
    <w:pPr>
      <w:ind w:left="567" w:right="0" w:firstLine="0"/>
      <w:spacing w:after="57"/>
    </w:pPr>
  </w:style>
  <w:style w:type="paragraph" w:styleId="666">
    <w:name w:val="toc 8"/>
    <w:basedOn w:val="649"/>
    <w:next w:val="649"/>
    <w:uiPriority w:val="39"/>
    <w:unhideWhenUsed/>
    <w:qFormat/>
    <w:pPr>
      <w:ind w:left="1984" w:right="0" w:firstLine="0"/>
      <w:spacing w:after="57"/>
    </w:pPr>
  </w:style>
  <w:style w:type="paragraph" w:styleId="667">
    <w:name w:val="endnote text"/>
    <w:basedOn w:val="649"/>
    <w:link w:val="829"/>
    <w:uiPriority w:val="99"/>
    <w:semiHidden/>
    <w:unhideWhenUsed/>
    <w:qFormat/>
    <w:pPr>
      <w:spacing w:after="0" w:line="240" w:lineRule="auto"/>
    </w:pPr>
    <w:rPr>
      <w:sz w:val="20"/>
    </w:rPr>
  </w:style>
  <w:style w:type="paragraph" w:styleId="668">
    <w:name w:val="Footer"/>
    <w:basedOn w:val="649"/>
    <w:link w:val="702"/>
    <w:uiPriority w:val="99"/>
    <w:unhideWhenUsed/>
    <w:qFormat/>
    <w:pPr>
      <w:spacing w:after="0" w:line="240" w:lineRule="auto"/>
      <w:tabs>
        <w:tab w:val="center" w:pos="7143" w:leader="none"/>
        <w:tab w:val="right" w:pos="14287" w:leader="none"/>
      </w:tabs>
    </w:pPr>
  </w:style>
  <w:style w:type="paragraph" w:styleId="669">
    <w:name w:val="Header"/>
    <w:basedOn w:val="649"/>
    <w:link w:val="700"/>
    <w:uiPriority w:val="99"/>
    <w:unhideWhenUsed/>
    <w:qFormat/>
    <w:pPr>
      <w:spacing w:after="0" w:line="240" w:lineRule="auto"/>
      <w:tabs>
        <w:tab w:val="center" w:pos="7143" w:leader="none"/>
        <w:tab w:val="right" w:pos="14287" w:leader="none"/>
      </w:tabs>
    </w:pPr>
  </w:style>
  <w:style w:type="paragraph" w:styleId="670">
    <w:name w:val="toc 1"/>
    <w:basedOn w:val="649"/>
    <w:next w:val="649"/>
    <w:uiPriority w:val="39"/>
    <w:unhideWhenUsed/>
    <w:qFormat/>
    <w:pPr>
      <w:ind w:left="0" w:right="0" w:firstLine="0"/>
      <w:spacing w:after="57"/>
    </w:pPr>
  </w:style>
  <w:style w:type="paragraph" w:styleId="671">
    <w:name w:val="toc 4"/>
    <w:basedOn w:val="649"/>
    <w:next w:val="649"/>
    <w:uiPriority w:val="39"/>
    <w:unhideWhenUsed/>
    <w:qFormat/>
    <w:pPr>
      <w:ind w:left="850" w:right="0" w:firstLine="0"/>
      <w:spacing w:after="57"/>
    </w:pPr>
  </w:style>
  <w:style w:type="paragraph" w:styleId="672">
    <w:name w:val="Subtitle"/>
    <w:basedOn w:val="649"/>
    <w:next w:val="649"/>
    <w:link w:val="695"/>
    <w:uiPriority w:val="11"/>
    <w:qFormat/>
    <w:pPr>
      <w:spacing w:before="200" w:after="200"/>
    </w:pPr>
    <w:rPr>
      <w:sz w:val="24"/>
      <w:szCs w:val="24"/>
    </w:rPr>
  </w:style>
  <w:style w:type="paragraph" w:styleId="673">
    <w:name w:val="footnote text"/>
    <w:basedOn w:val="649"/>
    <w:link w:val="828"/>
    <w:uiPriority w:val="99"/>
    <w:semiHidden/>
    <w:unhideWhenUsed/>
    <w:qFormat/>
    <w:pPr>
      <w:spacing w:after="40" w:line="240" w:lineRule="auto"/>
    </w:pPr>
    <w:rPr>
      <w:sz w:val="18"/>
    </w:rPr>
  </w:style>
  <w:style w:type="paragraph" w:styleId="674">
    <w:name w:val="toc 6"/>
    <w:basedOn w:val="649"/>
    <w:next w:val="649"/>
    <w:uiPriority w:val="39"/>
    <w:unhideWhenUsed/>
    <w:qFormat/>
    <w:pPr>
      <w:ind w:left="1417" w:right="0" w:firstLine="0"/>
      <w:spacing w:after="57"/>
    </w:pPr>
  </w:style>
  <w:style w:type="paragraph" w:styleId="675">
    <w:name w:val="table of figures"/>
    <w:basedOn w:val="649"/>
    <w:next w:val="649"/>
    <w:uiPriority w:val="99"/>
    <w:unhideWhenUsed/>
    <w:qFormat/>
    <w:pPr>
      <w:spacing w:after="0" w:afterAutospacing="0"/>
    </w:pPr>
  </w:style>
  <w:style w:type="paragraph" w:styleId="676">
    <w:name w:val="toc 2"/>
    <w:basedOn w:val="649"/>
    <w:next w:val="649"/>
    <w:uiPriority w:val="39"/>
    <w:unhideWhenUsed/>
    <w:qFormat/>
    <w:pPr>
      <w:ind w:left="283" w:right="0" w:firstLine="0"/>
      <w:spacing w:after="57"/>
    </w:pPr>
  </w:style>
  <w:style w:type="paragraph" w:styleId="677">
    <w:name w:val="toc 9"/>
    <w:basedOn w:val="649"/>
    <w:next w:val="649"/>
    <w:uiPriority w:val="39"/>
    <w:unhideWhenUsed/>
    <w:qFormat/>
    <w:pPr>
      <w:ind w:left="2268" w:right="0" w:firstLine="0"/>
      <w:spacing w:after="57"/>
    </w:pPr>
  </w:style>
  <w:style w:type="paragraph" w:styleId="678">
    <w:name w:val="Title"/>
    <w:basedOn w:val="649"/>
    <w:next w:val="649"/>
    <w:link w:val="694"/>
    <w:uiPriority w:val="10"/>
    <w:qFormat/>
    <w:pPr>
      <w:contextualSpacing/>
      <w:spacing w:before="300" w:after="200"/>
    </w:pPr>
    <w:rPr>
      <w:sz w:val="48"/>
      <w:szCs w:val="48"/>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Hyperlink"/>
    <w:uiPriority w:val="99"/>
    <w:unhideWhenUsed/>
    <w:qFormat/>
    <w:rPr>
      <w:color w:val="0000ff" w:themeColor="hyperlink"/>
      <w:u w:val="single"/>
      <w14:textFill>
        <w14:solidFill>
          <w14:schemeClr w14:val="hlink"/>
        </w14:solidFill>
      </w14:textFill>
    </w:rPr>
  </w:style>
  <w:style w:type="character" w:styleId="682">
    <w:name w:val="footnote reference"/>
    <w:uiPriority w:val="99"/>
    <w:unhideWhenUsed/>
    <w:qFormat/>
    <w:rPr>
      <w:vertAlign w:val="superscript"/>
    </w:rPr>
  </w:style>
  <w:style w:type="character" w:styleId="683" w:customStyle="1">
    <w:name w:val="Heading 1 Char"/>
    <w:link w:val="650"/>
    <w:uiPriority w:val="9"/>
    <w:qFormat/>
    <w:rPr>
      <w:rFonts w:ascii="Arial" w:hAnsi="Arial" w:eastAsia="Arial" w:cs="Arial"/>
      <w:sz w:val="40"/>
      <w:szCs w:val="40"/>
    </w:rPr>
  </w:style>
  <w:style w:type="character" w:styleId="684" w:customStyle="1">
    <w:name w:val="Heading 2 Char"/>
    <w:link w:val="651"/>
    <w:uiPriority w:val="9"/>
    <w:qFormat/>
    <w:rPr>
      <w:rFonts w:ascii="Arial" w:hAnsi="Arial" w:eastAsia="Arial" w:cs="Arial"/>
      <w:sz w:val="34"/>
    </w:rPr>
  </w:style>
  <w:style w:type="character" w:styleId="685" w:customStyle="1">
    <w:name w:val="Heading 3 Char"/>
    <w:link w:val="652"/>
    <w:uiPriority w:val="9"/>
    <w:qFormat/>
    <w:rPr>
      <w:rFonts w:ascii="Arial" w:hAnsi="Arial" w:eastAsia="Arial" w:cs="Arial"/>
      <w:sz w:val="30"/>
      <w:szCs w:val="30"/>
    </w:rPr>
  </w:style>
  <w:style w:type="character" w:styleId="686" w:customStyle="1">
    <w:name w:val="Heading 4 Char"/>
    <w:link w:val="653"/>
    <w:uiPriority w:val="9"/>
    <w:qFormat/>
    <w:rPr>
      <w:rFonts w:ascii="Arial" w:hAnsi="Arial" w:eastAsia="Arial" w:cs="Arial"/>
      <w:b/>
      <w:bCs/>
      <w:sz w:val="26"/>
      <w:szCs w:val="26"/>
    </w:rPr>
  </w:style>
  <w:style w:type="character" w:styleId="687" w:customStyle="1">
    <w:name w:val="Heading 5 Char"/>
    <w:link w:val="654"/>
    <w:uiPriority w:val="9"/>
    <w:qFormat/>
    <w:rPr>
      <w:rFonts w:ascii="Arial" w:hAnsi="Arial" w:eastAsia="Arial" w:cs="Arial"/>
      <w:b/>
      <w:bCs/>
      <w:sz w:val="24"/>
      <w:szCs w:val="24"/>
    </w:rPr>
  </w:style>
  <w:style w:type="character" w:styleId="688" w:customStyle="1">
    <w:name w:val="Heading 6 Char"/>
    <w:link w:val="655"/>
    <w:uiPriority w:val="9"/>
    <w:qFormat/>
    <w:rPr>
      <w:rFonts w:ascii="Arial" w:hAnsi="Arial" w:eastAsia="Arial" w:cs="Arial"/>
      <w:b/>
      <w:bCs/>
      <w:sz w:val="22"/>
      <w:szCs w:val="22"/>
    </w:rPr>
  </w:style>
  <w:style w:type="character" w:styleId="689" w:customStyle="1">
    <w:name w:val="Heading 7 Char"/>
    <w:link w:val="656"/>
    <w:uiPriority w:val="9"/>
    <w:qFormat/>
    <w:rPr>
      <w:rFonts w:ascii="Arial" w:hAnsi="Arial" w:eastAsia="Arial" w:cs="Arial"/>
      <w:b/>
      <w:bCs/>
      <w:i/>
      <w:iCs/>
      <w:sz w:val="22"/>
      <w:szCs w:val="22"/>
    </w:rPr>
  </w:style>
  <w:style w:type="character" w:styleId="690" w:customStyle="1">
    <w:name w:val="Heading 8 Char"/>
    <w:link w:val="657"/>
    <w:uiPriority w:val="9"/>
    <w:qFormat/>
    <w:rPr>
      <w:rFonts w:ascii="Arial" w:hAnsi="Arial" w:eastAsia="Arial" w:cs="Arial"/>
      <w:i/>
      <w:iCs/>
      <w:sz w:val="22"/>
      <w:szCs w:val="22"/>
    </w:rPr>
  </w:style>
  <w:style w:type="character" w:styleId="691" w:customStyle="1">
    <w:name w:val="Heading 9 Char"/>
    <w:link w:val="658"/>
    <w:uiPriority w:val="9"/>
    <w:qFormat/>
    <w:rPr>
      <w:rFonts w:ascii="Arial" w:hAnsi="Arial" w:eastAsia="Arial" w:cs="Arial"/>
      <w:i/>
      <w:iCs/>
      <w:sz w:val="21"/>
      <w:szCs w:val="21"/>
    </w:rPr>
  </w:style>
  <w:style w:type="paragraph" w:styleId="692">
    <w:name w:val="List Paragraph"/>
    <w:basedOn w:val="649"/>
    <w:uiPriority w:val="34"/>
    <w:qFormat/>
    <w:pPr>
      <w:contextualSpacing/>
      <w:ind w:left="720"/>
    </w:pPr>
  </w:style>
  <w:style w:type="paragraph" w:styleId="693">
    <w:name w:val="No Spacing"/>
    <w:uiPriority w:val="1"/>
    <w:qFormat/>
    <w:pPr>
      <w:spacing w:before="0" w:after="0" w:line="240" w:lineRule="auto"/>
    </w:pPr>
    <w:rPr>
      <w:rFonts w:hint="default" w:ascii="Times New Roman" w:hAnsi="Times New Roman" w:eastAsia="宋体" w:cs="Times New Roman"/>
    </w:rPr>
  </w:style>
  <w:style w:type="character" w:styleId="694" w:customStyle="1">
    <w:name w:val="Title Char"/>
    <w:link w:val="678"/>
    <w:uiPriority w:val="10"/>
    <w:qFormat/>
    <w:rPr>
      <w:sz w:val="48"/>
      <w:szCs w:val="48"/>
    </w:rPr>
  </w:style>
  <w:style w:type="character" w:styleId="695" w:customStyle="1">
    <w:name w:val="Subtitle Char"/>
    <w:link w:val="672"/>
    <w:uiPriority w:val="11"/>
    <w:qFormat/>
    <w:rPr>
      <w:sz w:val="24"/>
      <w:szCs w:val="24"/>
    </w:rPr>
  </w:style>
  <w:style w:type="paragraph" w:styleId="696">
    <w:name w:val="Quote"/>
    <w:basedOn w:val="649"/>
    <w:next w:val="649"/>
    <w:link w:val="697"/>
    <w:uiPriority w:val="29"/>
    <w:qFormat/>
    <w:pPr>
      <w:ind w:left="720" w:right="720"/>
    </w:pPr>
    <w:rPr>
      <w:i/>
    </w:rPr>
  </w:style>
  <w:style w:type="character" w:styleId="697" w:customStyle="1">
    <w:name w:val="Quote Char"/>
    <w:link w:val="696"/>
    <w:uiPriority w:val="29"/>
    <w:qFormat/>
    <w:rPr>
      <w:i/>
    </w:rPr>
  </w:style>
  <w:style w:type="paragraph" w:styleId="698">
    <w:name w:val="Intense Quote"/>
    <w:basedOn w:val="649"/>
    <w:next w:val="649"/>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Intense Quote Char"/>
    <w:link w:val="698"/>
    <w:uiPriority w:val="30"/>
    <w:qFormat/>
    <w:rPr>
      <w:i/>
    </w:rPr>
  </w:style>
  <w:style w:type="character" w:styleId="700" w:customStyle="1">
    <w:name w:val="Header Char"/>
    <w:link w:val="669"/>
    <w:uiPriority w:val="99"/>
    <w:qFormat/>
  </w:style>
  <w:style w:type="character" w:styleId="701" w:customStyle="1">
    <w:name w:val="Footer Char"/>
    <w:link w:val="668"/>
    <w:uiPriority w:val="99"/>
    <w:qFormat/>
  </w:style>
  <w:style w:type="character" w:styleId="702" w:customStyle="1">
    <w:name w:val="Caption Char"/>
    <w:link w:val="668"/>
    <w:uiPriority w:val="99"/>
    <w:qFormat/>
  </w:style>
  <w:style w:type="table" w:styleId="7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Footnote Text Char"/>
    <w:link w:val="673"/>
    <w:uiPriority w:val="99"/>
    <w:qFormat/>
    <w:rPr>
      <w:sz w:val="18"/>
    </w:rPr>
  </w:style>
  <w:style w:type="character" w:styleId="829" w:customStyle="1">
    <w:name w:val="Endnote Text Char"/>
    <w:link w:val="667"/>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标题 11"/>
    <w:basedOn w:val="649"/>
    <w:next w:val="649"/>
    <w:uiPriority w:val="9"/>
    <w:qFormat/>
    <w:pPr>
      <w:keepLines/>
      <w:keepNext/>
      <w:spacing w:before="340" w:after="330" w:line="578" w:lineRule="auto"/>
      <w:outlineLvl w:val="0"/>
    </w:pPr>
    <w:rPr>
      <w:b/>
      <w:bCs/>
      <w:sz w:val="44"/>
      <w:szCs w:val="44"/>
    </w:rPr>
  </w:style>
  <w:style w:type="paragraph" w:styleId="832" w:customStyle="1">
    <w:name w:val="标题 21"/>
    <w:basedOn w:val="649"/>
    <w:next w:val="649"/>
    <w:uiPriority w:val="9"/>
    <w:qFormat/>
    <w:pPr>
      <w:keepLines/>
      <w:keepNext/>
      <w:spacing w:before="260" w:after="260" w:line="413" w:lineRule="auto"/>
      <w:outlineLvl w:val="1"/>
    </w:pPr>
    <w:rPr>
      <w:rFonts w:ascii="Arial" w:hAnsi="Arial" w:eastAsia="黑体"/>
      <w:b/>
      <w:sz w:val="32"/>
      <w:szCs w:val="20"/>
    </w:rPr>
  </w:style>
  <w:style w:type="paragraph" w:styleId="833" w:customStyle="1">
    <w:name w:val="标题 31"/>
    <w:basedOn w:val="649"/>
    <w:next w:val="649"/>
    <w:uiPriority w:val="9"/>
    <w:qFormat/>
    <w:pPr>
      <w:keepLines/>
      <w:keepNext/>
      <w:spacing w:before="260" w:after="260" w:line="413" w:lineRule="auto"/>
      <w:outlineLvl w:val="2"/>
    </w:pPr>
    <w:rPr>
      <w:rFonts w:ascii="Arial" w:hAnsi="Arial"/>
      <w:b/>
      <w:sz w:val="32"/>
      <w:szCs w:val="20"/>
    </w:rPr>
  </w:style>
  <w:style w:type="paragraph" w:styleId="834" w:customStyle="1">
    <w:name w:val="标题 41"/>
    <w:basedOn w:val="649"/>
    <w:next w:val="649"/>
    <w:link w:val="839"/>
    <w:uiPriority w:val="9"/>
    <w:qFormat/>
    <w:pPr>
      <w:keepLines/>
      <w:keepNext/>
      <w:spacing w:before="280" w:after="290" w:line="376" w:lineRule="auto"/>
      <w:outlineLvl w:val="3"/>
    </w:pPr>
    <w:rPr>
      <w:rFonts w:ascii="Cambria" w:hAnsi="Cambria"/>
      <w:b/>
      <w:bCs/>
      <w:sz w:val="28"/>
      <w:szCs w:val="28"/>
    </w:rPr>
  </w:style>
  <w:style w:type="paragraph" w:styleId="835" w:customStyle="1">
    <w:name w:val="标题 51"/>
    <w:basedOn w:val="649"/>
    <w:next w:val="649"/>
    <w:link w:val="840"/>
    <w:uiPriority w:val="9"/>
    <w:qFormat/>
    <w:pPr>
      <w:keepLines/>
      <w:keepNext/>
      <w:spacing w:before="280" w:after="290" w:line="376" w:lineRule="auto"/>
      <w:outlineLvl w:val="4"/>
    </w:pPr>
    <w:rPr>
      <w:b/>
      <w:bCs/>
      <w:sz w:val="28"/>
      <w:szCs w:val="28"/>
    </w:rPr>
  </w:style>
  <w:style w:type="character" w:styleId="836" w:customStyle="1">
    <w:name w:val="默认段落字体1"/>
    <w:link w:val="649"/>
    <w:uiPriority w:val="0"/>
    <w:semiHidden/>
    <w:qFormat/>
  </w:style>
  <w:style w:type="table" w:styleId="837"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38" w:customStyle="1">
    <w:name w:val="正文文本11"/>
    <w:basedOn w:val="64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39" w:customStyle="1">
    <w:name w:val="标题 4 Char"/>
    <w:link w:val="834"/>
    <w:uiPriority w:val="9"/>
    <w:qFormat/>
    <w:rPr>
      <w:rFonts w:ascii="Cambria" w:hAnsi="Cambria"/>
      <w:b/>
      <w:bCs/>
      <w:sz w:val="28"/>
      <w:szCs w:val="28"/>
    </w:rPr>
  </w:style>
  <w:style w:type="character" w:styleId="840" w:customStyle="1">
    <w:name w:val="标题 5 Char"/>
    <w:link w:val="835"/>
    <w:uiPriority w:val="9"/>
    <w:qFormat/>
    <w:rPr>
      <w:b/>
      <w:bCs/>
      <w:sz w:val="28"/>
      <w:szCs w:val="28"/>
    </w:rPr>
  </w:style>
  <w:style w:type="paragraph" w:styleId="841" w:customStyle="1">
    <w:name w:val="正文缩进1"/>
    <w:basedOn w:val="649"/>
    <w:link w:val="842"/>
    <w:uiPriority w:val="0"/>
    <w:qFormat/>
    <w:pPr>
      <w:ind w:firstLine="420"/>
    </w:pPr>
    <w:rPr>
      <w:szCs w:val="20"/>
    </w:rPr>
  </w:style>
  <w:style w:type="character" w:styleId="842" w:customStyle="1">
    <w:name w:val="正文缩进 Char"/>
    <w:link w:val="841"/>
    <w:uiPriority w:val="0"/>
    <w:qFormat/>
    <w:rPr>
      <w:sz w:val="21"/>
    </w:rPr>
  </w:style>
  <w:style w:type="paragraph" w:styleId="843" w:customStyle="1">
    <w:name w:val="题注1"/>
    <w:basedOn w:val="649"/>
    <w:next w:val="649"/>
    <w:uiPriority w:val="35"/>
    <w:qFormat/>
    <w:pPr>
      <w:jc w:val="center"/>
      <w:spacing w:before="156" w:after="156" w:line="360" w:lineRule="auto"/>
    </w:pPr>
    <w:rPr>
      <w:rFonts w:ascii="Arial" w:hAnsi="Arial" w:cs="Arial"/>
      <w:sz w:val="24"/>
      <w:szCs w:val="20"/>
    </w:rPr>
  </w:style>
  <w:style w:type="paragraph" w:styleId="844" w:customStyle="1">
    <w:name w:val="文档结构图1"/>
    <w:basedOn w:val="649"/>
    <w:uiPriority w:val="0"/>
    <w:semiHidden/>
    <w:qFormat/>
    <w:pPr>
      <w:shd w:val="clear" w:color="auto" w:fill="000080"/>
    </w:pPr>
  </w:style>
  <w:style w:type="paragraph" w:styleId="845" w:customStyle="1">
    <w:name w:val="批注文字1"/>
    <w:basedOn w:val="649"/>
    <w:link w:val="846"/>
    <w:uiPriority w:val="99"/>
    <w:unhideWhenUsed/>
    <w:qFormat/>
    <w:pPr>
      <w:jc w:val="left"/>
    </w:pPr>
  </w:style>
  <w:style w:type="character" w:styleId="846" w:customStyle="1">
    <w:name w:val="批注文字 Char"/>
    <w:link w:val="845"/>
    <w:uiPriority w:val="99"/>
    <w:qFormat/>
    <w:rPr>
      <w:sz w:val="21"/>
      <w:szCs w:val="24"/>
    </w:rPr>
  </w:style>
  <w:style w:type="paragraph" w:styleId="847" w:customStyle="1">
    <w:name w:val="正文文本 31"/>
    <w:basedOn w:val="649"/>
    <w:uiPriority w:val="0"/>
    <w:qFormat/>
    <w:rPr>
      <w:rFonts w:ascii="楷体_GB2312" w:hAnsi="Arial" w:eastAsia="楷体_GB2312" w:cs="Arial"/>
      <w:b/>
      <w:bCs/>
      <w:color w:val="000000"/>
      <w:sz w:val="24"/>
    </w:rPr>
  </w:style>
  <w:style w:type="paragraph" w:styleId="848" w:customStyle="1">
    <w:name w:val="正文文本缩进1"/>
    <w:basedOn w:val="649"/>
    <w:uiPriority w:val="0"/>
    <w:qFormat/>
    <w:pPr>
      <w:ind w:firstLine="630"/>
    </w:pPr>
    <w:rPr>
      <w:rFonts w:ascii="楷体_GB2312" w:eastAsia="楷体_GB2312"/>
      <w:sz w:val="32"/>
      <w:szCs w:val="20"/>
    </w:rPr>
  </w:style>
  <w:style w:type="paragraph" w:styleId="849" w:customStyle="1">
    <w:name w:val="文本块1"/>
    <w:basedOn w:val="649"/>
    <w:uiPriority w:val="0"/>
    <w:qFormat/>
    <w:pPr>
      <w:ind w:left="420" w:right="33"/>
      <w:jc w:val="left"/>
    </w:pPr>
    <w:rPr>
      <w:sz w:val="24"/>
      <w:szCs w:val="20"/>
    </w:rPr>
  </w:style>
  <w:style w:type="paragraph" w:styleId="850" w:customStyle="1">
    <w:name w:val="目录 31"/>
    <w:basedOn w:val="649"/>
    <w:next w:val="649"/>
    <w:uiPriority w:val="0"/>
    <w:semiHidden/>
    <w:qFormat/>
    <w:pPr>
      <w:ind w:left="840"/>
      <w:spacing w:line="300" w:lineRule="auto"/>
      <w:tabs>
        <w:tab w:val="right" w:pos="9344" w:leader="dot"/>
      </w:tabs>
    </w:pPr>
    <w:rPr>
      <w:rFonts w:ascii="Arial" w:hAnsi="Arial" w:cs="Arial"/>
      <w:szCs w:val="21"/>
    </w:rPr>
  </w:style>
  <w:style w:type="paragraph" w:styleId="851" w:customStyle="1">
    <w:name w:val="纯文本11"/>
    <w:basedOn w:val="649"/>
    <w:next w:val="852"/>
    <w:link w:val="853"/>
    <w:uiPriority w:val="0"/>
    <w:qFormat/>
    <w:rPr>
      <w:rFonts w:ascii="宋体" w:hAnsi="Courier New"/>
      <w:szCs w:val="20"/>
    </w:rPr>
  </w:style>
  <w:style w:type="paragraph" w:styleId="85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853" w:customStyle="1">
    <w:name w:val="纯文本 Char"/>
    <w:link w:val="851"/>
    <w:uiPriority w:val="0"/>
    <w:qFormat/>
    <w:rPr>
      <w:rFonts w:ascii="宋体" w:hAnsi="Courier New" w:eastAsia="宋体"/>
      <w:sz w:val="21"/>
      <w:lang w:val="en-US" w:eastAsia="zh-CN" w:bidi="ar-SA"/>
    </w:rPr>
  </w:style>
  <w:style w:type="paragraph" w:styleId="854" w:customStyle="1">
    <w:name w:val="正文文本缩进 21"/>
    <w:basedOn w:val="649"/>
    <w:uiPriority w:val="0"/>
    <w:qFormat/>
    <w:pPr>
      <w:ind w:left="420"/>
      <w:spacing w:after="120" w:line="480" w:lineRule="auto"/>
    </w:pPr>
  </w:style>
  <w:style w:type="paragraph" w:styleId="855" w:customStyle="1">
    <w:name w:val="批注框文本1"/>
    <w:basedOn w:val="649"/>
    <w:link w:val="856"/>
    <w:uiPriority w:val="0"/>
    <w:qFormat/>
    <w:rPr>
      <w:sz w:val="18"/>
      <w:szCs w:val="18"/>
    </w:rPr>
  </w:style>
  <w:style w:type="character" w:styleId="856" w:customStyle="1">
    <w:name w:val="批注框文本 Char"/>
    <w:link w:val="855"/>
    <w:uiPriority w:val="0"/>
    <w:qFormat/>
    <w:rPr>
      <w:sz w:val="18"/>
      <w:szCs w:val="18"/>
    </w:rPr>
  </w:style>
  <w:style w:type="paragraph" w:styleId="857" w:customStyle="1">
    <w:name w:val="页脚1"/>
    <w:basedOn w:val="649"/>
    <w:link w:val="858"/>
    <w:uiPriority w:val="0"/>
    <w:qFormat/>
    <w:pPr>
      <w:jc w:val="left"/>
      <w:tabs>
        <w:tab w:val="center" w:pos="4153" w:leader="none"/>
        <w:tab w:val="right" w:pos="8306" w:leader="none"/>
      </w:tabs>
    </w:pPr>
    <w:rPr>
      <w:sz w:val="18"/>
      <w:szCs w:val="18"/>
    </w:rPr>
  </w:style>
  <w:style w:type="character" w:styleId="858" w:customStyle="1">
    <w:name w:val="页脚 Char"/>
    <w:link w:val="857"/>
    <w:uiPriority w:val="0"/>
    <w:qFormat/>
    <w:rPr>
      <w:sz w:val="18"/>
      <w:szCs w:val="18"/>
    </w:rPr>
  </w:style>
  <w:style w:type="paragraph" w:styleId="859" w:customStyle="1">
    <w:name w:val="页眉1"/>
    <w:basedOn w:val="649"/>
    <w:link w:val="860"/>
    <w:uiPriority w:val="0"/>
    <w:qFormat/>
    <w:pPr>
      <w:jc w:val="center"/>
      <w:tabs>
        <w:tab w:val="center" w:pos="4153" w:leader="none"/>
        <w:tab w:val="right" w:pos="8306" w:leader="none"/>
      </w:tabs>
      <w:pBdr>
        <w:bottom w:val="single" w:color="000000" w:sz="6" w:space="1"/>
      </w:pBdr>
    </w:pPr>
    <w:rPr>
      <w:sz w:val="18"/>
      <w:szCs w:val="18"/>
    </w:rPr>
  </w:style>
  <w:style w:type="character" w:styleId="860" w:customStyle="1">
    <w:name w:val="页眉 Char"/>
    <w:link w:val="859"/>
    <w:uiPriority w:val="0"/>
    <w:qFormat/>
    <w:rPr>
      <w:sz w:val="18"/>
      <w:szCs w:val="18"/>
    </w:rPr>
  </w:style>
  <w:style w:type="paragraph" w:styleId="861" w:customStyle="1">
    <w:name w:val="目录 11"/>
    <w:basedOn w:val="649"/>
    <w:next w:val="649"/>
    <w:uiPriority w:val="0"/>
    <w:semiHidden/>
    <w:qFormat/>
  </w:style>
  <w:style w:type="paragraph" w:styleId="862" w:customStyle="1">
    <w:name w:val="正文文本缩进 31"/>
    <w:basedOn w:val="649"/>
    <w:uiPriority w:val="99"/>
    <w:qFormat/>
    <w:pPr>
      <w:ind w:firstLine="420"/>
    </w:pPr>
    <w:rPr>
      <w:rFonts w:eastAsia="楷体_GB2312"/>
    </w:rPr>
  </w:style>
  <w:style w:type="paragraph" w:styleId="863" w:customStyle="1">
    <w:name w:val="目录 21"/>
    <w:basedOn w:val="649"/>
    <w:next w:val="649"/>
    <w:uiPriority w:val="0"/>
    <w:semiHidden/>
    <w:qFormat/>
    <w:pPr>
      <w:ind w:left="420"/>
    </w:pPr>
    <w:rPr>
      <w:szCs w:val="20"/>
    </w:rPr>
  </w:style>
  <w:style w:type="paragraph" w:styleId="864" w:customStyle="1">
    <w:name w:val="正文文本 21"/>
    <w:basedOn w:val="649"/>
    <w:link w:val="865"/>
    <w:uiPriority w:val="0"/>
    <w:qFormat/>
    <w:pPr>
      <w:spacing w:line="440" w:lineRule="exact"/>
    </w:pPr>
    <w:rPr>
      <w:rFonts w:ascii="楷体_GB2312" w:eastAsia="楷体_GB2312"/>
      <w:sz w:val="28"/>
    </w:rPr>
  </w:style>
  <w:style w:type="character" w:styleId="865" w:customStyle="1">
    <w:name w:val="正文文本 2 Char"/>
    <w:link w:val="864"/>
    <w:uiPriority w:val="0"/>
    <w:qFormat/>
    <w:rPr>
      <w:rFonts w:ascii="楷体_GB2312" w:eastAsia="楷体_GB2312"/>
      <w:sz w:val="28"/>
      <w:szCs w:val="24"/>
    </w:rPr>
  </w:style>
  <w:style w:type="paragraph" w:styleId="866" w:customStyle="1">
    <w:name w:val="批注主题1"/>
    <w:basedOn w:val="845"/>
    <w:next w:val="845"/>
    <w:link w:val="867"/>
    <w:uiPriority w:val="0"/>
    <w:qFormat/>
    <w:rPr>
      <w:b/>
      <w:bCs/>
    </w:rPr>
  </w:style>
  <w:style w:type="character" w:styleId="867" w:customStyle="1">
    <w:name w:val="批注主题 Char"/>
    <w:link w:val="866"/>
    <w:uiPriority w:val="0"/>
    <w:qFormat/>
    <w:rPr>
      <w:b/>
      <w:bCs/>
      <w:sz w:val="21"/>
      <w:szCs w:val="24"/>
    </w:rPr>
  </w:style>
  <w:style w:type="paragraph" w:styleId="868" w:customStyle="1">
    <w:name w:val="正文首行缩进 21"/>
    <w:basedOn w:val="848"/>
    <w:uiPriority w:val="0"/>
    <w:qFormat/>
    <w:pPr>
      <w:ind w:left="420" w:firstLine="420"/>
      <w:spacing w:after="120"/>
      <w:widowControl/>
    </w:pPr>
    <w:rPr>
      <w:rFonts w:ascii="仿宋_GB2312" w:eastAsia="仿宋_GB2312"/>
      <w:color w:val="ff6600"/>
      <w:sz w:val="21"/>
    </w:rPr>
  </w:style>
  <w:style w:type="table" w:styleId="869" w:customStyle="1">
    <w:name w:val="网格型1"/>
    <w:basedOn w:val="83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0" w:customStyle="1">
    <w:name w:val="要点1"/>
    <w:link w:val="649"/>
    <w:uiPriority w:val="0"/>
    <w:qFormat/>
  </w:style>
  <w:style w:type="character" w:styleId="871" w:customStyle="1">
    <w:name w:val="页码1"/>
    <w:link w:val="649"/>
    <w:uiPriority w:val="0"/>
    <w:qFormat/>
  </w:style>
  <w:style w:type="character" w:styleId="872" w:customStyle="1">
    <w:name w:val="已访问的超链接1"/>
    <w:link w:val="649"/>
    <w:uiPriority w:val="0"/>
    <w:qFormat/>
    <w:rPr>
      <w:color w:val="800080"/>
      <w:u w:val="none"/>
    </w:rPr>
  </w:style>
  <w:style w:type="character" w:styleId="873" w:customStyle="1">
    <w:name w:val="强调1"/>
    <w:link w:val="649"/>
    <w:uiPriority w:val="0"/>
    <w:qFormat/>
  </w:style>
  <w:style w:type="character" w:styleId="874" w:customStyle="1">
    <w:name w:val="HTML 定义1"/>
    <w:link w:val="649"/>
    <w:uiPriority w:val="0"/>
    <w:qFormat/>
  </w:style>
  <w:style w:type="character" w:styleId="875" w:customStyle="1">
    <w:name w:val="HTML 打字机1"/>
    <w:link w:val="649"/>
    <w:uiPriority w:val="0"/>
    <w:qFormat/>
    <w:rPr>
      <w:rFonts w:ascii="monospace" w:hAnsi="monospace" w:eastAsia="monospace" w:cs="monospace"/>
      <w:sz w:val="20"/>
    </w:rPr>
  </w:style>
  <w:style w:type="character" w:styleId="876" w:customStyle="1">
    <w:name w:val="HTML 缩写1"/>
    <w:link w:val="649"/>
    <w:uiPriority w:val="0"/>
    <w:qFormat/>
  </w:style>
  <w:style w:type="character" w:styleId="877" w:customStyle="1">
    <w:name w:val="HTML 变量1"/>
    <w:link w:val="649"/>
    <w:uiPriority w:val="0"/>
    <w:qFormat/>
  </w:style>
  <w:style w:type="character" w:styleId="878" w:customStyle="1">
    <w:name w:val="超链接1"/>
    <w:link w:val="649"/>
    <w:uiPriority w:val="0"/>
    <w:qFormat/>
    <w:rPr>
      <w:color w:val="0000ff"/>
      <w:u w:val="none"/>
    </w:rPr>
  </w:style>
  <w:style w:type="character" w:styleId="879" w:customStyle="1">
    <w:name w:val="HTML 代码1"/>
    <w:link w:val="649"/>
    <w:uiPriority w:val="0"/>
    <w:qFormat/>
    <w:rPr>
      <w:rFonts w:ascii="monospace" w:hAnsi="monospace" w:eastAsia="monospace" w:cs="monospace"/>
      <w:sz w:val="20"/>
    </w:rPr>
  </w:style>
  <w:style w:type="character" w:styleId="880" w:customStyle="1">
    <w:name w:val="批注引用1"/>
    <w:link w:val="649"/>
    <w:uiPriority w:val="0"/>
    <w:qFormat/>
    <w:rPr>
      <w:sz w:val="21"/>
      <w:szCs w:val="21"/>
    </w:rPr>
  </w:style>
  <w:style w:type="character" w:styleId="881" w:customStyle="1">
    <w:name w:val="HTML 引文1"/>
    <w:link w:val="649"/>
    <w:uiPriority w:val="0"/>
    <w:qFormat/>
  </w:style>
  <w:style w:type="character" w:styleId="882" w:customStyle="1">
    <w:name w:val="HTML 键盘1"/>
    <w:link w:val="649"/>
    <w:uiPriority w:val="0"/>
    <w:qFormat/>
    <w:rPr>
      <w:rFonts w:ascii="monospace" w:hAnsi="monospace" w:eastAsia="monospace" w:cs="monospace"/>
      <w:sz w:val="20"/>
    </w:rPr>
  </w:style>
  <w:style w:type="character" w:styleId="883" w:customStyle="1">
    <w:name w:val="HTML 样本1"/>
    <w:link w:val="649"/>
    <w:uiPriority w:val="0"/>
    <w:qFormat/>
    <w:rPr>
      <w:rFonts w:ascii="monospace" w:hAnsi="monospace" w:eastAsia="monospace" w:cs="monospace"/>
    </w:rPr>
  </w:style>
  <w:style w:type="character" w:styleId="884" w:customStyle="1">
    <w:name w:val="hover"/>
    <w:link w:val="649"/>
    <w:uiPriority w:val="0"/>
    <w:qFormat/>
    <w:rPr>
      <w:shd w:val="clear" w:color="auto" w:fill="eeeeee"/>
    </w:rPr>
  </w:style>
  <w:style w:type="character" w:styleId="885" w:customStyle="1">
    <w:name w:val="Font Style28"/>
    <w:link w:val="649"/>
    <w:uiPriority w:val="0"/>
    <w:qFormat/>
    <w:rPr>
      <w:rFonts w:ascii="Constantia" w:hAnsi="Constantia" w:cs="Constantia"/>
      <w:sz w:val="28"/>
      <w:szCs w:val="28"/>
    </w:rPr>
  </w:style>
  <w:style w:type="character" w:styleId="886" w:customStyle="1">
    <w:name w:val="glyphicon"/>
    <w:link w:val="649"/>
    <w:uiPriority w:val="0"/>
    <w:qFormat/>
  </w:style>
  <w:style w:type="character" w:styleId="887" w:customStyle="1">
    <w:name w:val="Font Style37"/>
    <w:link w:val="649"/>
    <w:uiPriority w:val="0"/>
    <w:qFormat/>
    <w:rPr>
      <w:rFonts w:ascii="Arial" w:hAnsi="Arial" w:cs="Arial"/>
      <w:sz w:val="16"/>
      <w:szCs w:val="16"/>
    </w:rPr>
  </w:style>
  <w:style w:type="character" w:styleId="888" w:customStyle="1">
    <w:name w:val="old"/>
    <w:link w:val="649"/>
    <w:uiPriority w:val="0"/>
    <w:qFormat/>
    <w:rPr>
      <w:color w:val="999999"/>
    </w:rPr>
  </w:style>
  <w:style w:type="character" w:styleId="889" w:customStyle="1">
    <w:name w:val="hour_pm"/>
    <w:link w:val="649"/>
    <w:uiPriority w:val="0"/>
    <w:qFormat/>
  </w:style>
  <w:style w:type="character" w:styleId="890" w:customStyle="1">
    <w:name w:val="Plain Text Char"/>
    <w:link w:val="649"/>
    <w:uiPriority w:val="0"/>
    <w:qFormat/>
    <w:rPr>
      <w:rFonts w:ascii="宋体" w:hAnsi="Courier New" w:eastAsia="宋体"/>
      <w:sz w:val="21"/>
      <w:lang w:val="en-US" w:eastAsia="zh-CN" w:bidi="ar-SA"/>
    </w:rPr>
  </w:style>
  <w:style w:type="character" w:styleId="891" w:customStyle="1">
    <w:name w:val="hour_am"/>
    <w:link w:val="649"/>
    <w:uiPriority w:val="0"/>
    <w:qFormat/>
  </w:style>
  <w:style w:type="character" w:styleId="892" w:customStyle="1">
    <w:name w:val="Font Style29"/>
    <w:link w:val="649"/>
    <w:uiPriority w:val="0"/>
    <w:qFormat/>
    <w:rPr>
      <w:rFonts w:ascii="Arial" w:hAnsi="Arial" w:cs="Arial"/>
      <w:sz w:val="14"/>
      <w:szCs w:val="14"/>
    </w:rPr>
  </w:style>
  <w:style w:type="character" w:styleId="893" w:customStyle="1">
    <w:name w:val="标题 2 Char"/>
    <w:link w:val="649"/>
    <w:uiPriority w:val="0"/>
    <w:qFormat/>
    <w:rPr>
      <w:rFonts w:ascii="Arial" w:hAnsi="Arial" w:eastAsia="黑体"/>
      <w:b/>
      <w:sz w:val="32"/>
      <w:lang w:val="en-US" w:eastAsia="zh-CN"/>
    </w:rPr>
  </w:style>
  <w:style w:type="character" w:styleId="894" w:customStyle="1">
    <w:name w:val="Font Style30"/>
    <w:link w:val="649"/>
    <w:uiPriority w:val="0"/>
    <w:qFormat/>
    <w:rPr>
      <w:rFonts w:ascii="宋体" w:eastAsia="宋体" w:cs="宋体"/>
      <w:sz w:val="14"/>
      <w:szCs w:val="14"/>
    </w:rPr>
  </w:style>
  <w:style w:type="character" w:styleId="895" w:customStyle="1">
    <w:name w:val="Font Style36"/>
    <w:link w:val="649"/>
    <w:uiPriority w:val="0"/>
    <w:qFormat/>
    <w:rPr>
      <w:rFonts w:ascii="宋体" w:eastAsia="宋体" w:cs="宋体"/>
      <w:sz w:val="16"/>
      <w:szCs w:val="16"/>
    </w:rPr>
  </w:style>
  <w:style w:type="paragraph" w:styleId="89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897" w:customStyle="1">
    <w:name w:val="标题1"/>
    <w:basedOn w:val="831"/>
    <w:next w:val="649"/>
    <w:uiPriority w:val="0"/>
    <w:qFormat/>
    <w:pPr>
      <w:numPr>
        <w:ilvl w:val="0"/>
        <w:numId w:val="1"/>
      </w:numPr>
      <w:jc w:val="left"/>
      <w:spacing w:line="578" w:lineRule="atLeast"/>
    </w:pPr>
  </w:style>
  <w:style w:type="paragraph" w:styleId="898" w:customStyle="1">
    <w:name w:val="Style12"/>
    <w:basedOn w:val="649"/>
    <w:uiPriority w:val="0"/>
    <w:qFormat/>
    <w:pPr>
      <w:jc w:val="left"/>
    </w:pPr>
    <w:rPr>
      <w:rFonts w:ascii="宋体"/>
      <w:sz w:val="24"/>
    </w:rPr>
  </w:style>
  <w:style w:type="paragraph" w:styleId="899" w:customStyle="1">
    <w:name w:val="正文（缩进） Char1"/>
    <w:basedOn w:val="649"/>
    <w:uiPriority w:val="0"/>
    <w:qFormat/>
    <w:pPr>
      <w:ind w:firstLine="480"/>
      <w:spacing w:before="156" w:after="156" w:line="360" w:lineRule="auto"/>
    </w:pPr>
    <w:rPr>
      <w:sz w:val="24"/>
    </w:rPr>
  </w:style>
  <w:style w:type="paragraph" w:styleId="900" w:customStyle="1">
    <w:name w:val="Char Char Char Char"/>
    <w:basedOn w:val="844"/>
    <w:uiPriority w:val="0"/>
    <w:qFormat/>
    <w:pPr>
      <w:spacing w:line="360" w:lineRule="auto"/>
    </w:pPr>
    <w:rPr>
      <w:rFonts w:ascii="Tahoma" w:hAnsi="Tahoma"/>
      <w:sz w:val="24"/>
    </w:rPr>
  </w:style>
  <w:style w:type="paragraph" w:styleId="901" w:customStyle="1">
    <w:name w:val="Style9"/>
    <w:basedOn w:val="649"/>
    <w:uiPriority w:val="0"/>
    <w:qFormat/>
    <w:pPr>
      <w:jc w:val="left"/>
    </w:pPr>
    <w:rPr>
      <w:rFonts w:ascii="宋体"/>
      <w:sz w:val="24"/>
    </w:rPr>
  </w:style>
  <w:style w:type="paragraph" w:styleId="902" w:customStyle="1">
    <w:name w:val="Style10"/>
    <w:basedOn w:val="649"/>
    <w:uiPriority w:val="0"/>
    <w:qFormat/>
    <w:pPr>
      <w:jc w:val="left"/>
    </w:pPr>
    <w:rPr>
      <w:rFonts w:ascii="宋体"/>
      <w:sz w:val="24"/>
    </w:rPr>
  </w:style>
  <w:style w:type="paragraph" w:styleId="903" w:customStyle="1">
    <w:name w:val="正文（无缩进）"/>
    <w:basedOn w:val="649"/>
    <w:uiPriority w:val="0"/>
    <w:qFormat/>
    <w:pPr>
      <w:spacing w:line="360" w:lineRule="auto"/>
    </w:pPr>
    <w:rPr>
      <w:rFonts w:ascii="Calibri" w:hAnsi="Calibri"/>
      <w:sz w:val="24"/>
      <w:szCs w:val="21"/>
    </w:rPr>
  </w:style>
  <w:style w:type="paragraph" w:styleId="904" w:customStyle="1">
    <w:name w:val="_Style 56"/>
    <w:basedOn w:val="844"/>
    <w:uiPriority w:val="0"/>
    <w:qFormat/>
    <w:pPr>
      <w:spacing w:line="436" w:lineRule="exact"/>
    </w:pPr>
    <w:rPr>
      <w:szCs w:val="20"/>
    </w:rPr>
  </w:style>
  <w:style w:type="paragraph" w:styleId="905" w:customStyle="1">
    <w:name w:val="信息标题1"/>
    <w:basedOn w:val="649"/>
    <w:next w:val="64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906" w:customStyle="1">
    <w:name w:val=" Char Char Char Char Char Char Char Char Char Char Char Char Char"/>
    <w:basedOn w:val="649"/>
    <w:uiPriority w:val="0"/>
    <w:qFormat/>
    <w:pPr>
      <w:jc w:val="left"/>
      <w:spacing w:after="160" w:line="240" w:lineRule="exact"/>
      <w:widowControl/>
    </w:pPr>
    <w:rPr>
      <w:rFonts w:ascii="Verdana" w:hAnsi="Verdana"/>
      <w:sz w:val="20"/>
      <w:szCs w:val="20"/>
      <w:lang w:eastAsia="en-US"/>
    </w:rPr>
  </w:style>
  <w:style w:type="paragraph" w:styleId="907" w:customStyle="1">
    <w:name w:val=" Char Char Char1 Char Char Char Char"/>
    <w:basedOn w:val="649"/>
    <w:uiPriority w:val="0"/>
    <w:qFormat/>
    <w:pPr>
      <w:jc w:val="left"/>
      <w:spacing w:after="160" w:line="240" w:lineRule="exact"/>
      <w:widowControl/>
    </w:pPr>
    <w:rPr>
      <w:rFonts w:ascii="宋体" w:hAnsi="宋体"/>
      <w:b/>
      <w:sz w:val="28"/>
      <w:szCs w:val="28"/>
    </w:rPr>
  </w:style>
  <w:style w:type="paragraph" w:styleId="908" w:customStyle="1">
    <w:name w:val="默认段落字体 Para Char Char Char Char Char Char Char Char Char1 Char Char Char Char Char Char Char"/>
    <w:basedOn w:val="844"/>
    <w:uiPriority w:val="0"/>
    <w:qFormat/>
    <w:rPr>
      <w:rFonts w:ascii="Tahoma" w:hAnsi="Tahoma"/>
      <w:sz w:val="24"/>
    </w:rPr>
  </w:style>
  <w:style w:type="paragraph" w:styleId="909" w:customStyle="1">
    <w:name w:val="要点标题"/>
    <w:basedOn w:val="649"/>
    <w:uiPriority w:val="0"/>
    <w:qFormat/>
    <w:pPr>
      <w:numPr>
        <w:ilvl w:val="0"/>
        <w:numId w:val="2"/>
      </w:numPr>
      <w:jc w:val="left"/>
    </w:pPr>
    <w:rPr>
      <w:rFonts w:ascii="宋体" w:hAnsi="宋体"/>
      <w:b/>
      <w:sz w:val="24"/>
    </w:rPr>
  </w:style>
  <w:style w:type="paragraph" w:styleId="910" w:customStyle="1">
    <w:name w:val="首行缩进"/>
    <w:basedOn w:val="649"/>
    <w:uiPriority w:val="0"/>
    <w:qFormat/>
    <w:pPr>
      <w:ind w:firstLine="420"/>
      <w:spacing w:line="360" w:lineRule="auto"/>
    </w:pPr>
    <w:rPr>
      <w:sz w:val="20"/>
    </w:rPr>
  </w:style>
  <w:style w:type="paragraph" w:styleId="911" w:customStyle="1">
    <w:name w:val="我的样式"/>
    <w:basedOn w:val="831"/>
    <w:next w:val="649"/>
    <w:uiPriority w:val="0"/>
    <w:qFormat/>
    <w:pPr>
      <w:numPr>
        <w:ilvl w:val="0"/>
        <w:numId w:val="3"/>
      </w:numPr>
      <w:spacing w:line="360" w:lineRule="auto"/>
    </w:pPr>
    <w:rPr>
      <w:rFonts w:ascii="仿宋_GB2312" w:eastAsia="仿宋_GB2312"/>
      <w:sz w:val="32"/>
      <w:szCs w:val="30"/>
    </w:rPr>
  </w:style>
  <w:style w:type="paragraph" w:styleId="912" w:customStyle="1">
    <w:name w:val="纯文本1"/>
    <w:basedOn w:val="649"/>
    <w:uiPriority w:val="0"/>
    <w:qFormat/>
    <w:rPr>
      <w:rFonts w:ascii="宋体" w:hAnsi="Courier New"/>
      <w:szCs w:val="20"/>
    </w:rPr>
  </w:style>
  <w:style w:type="paragraph" w:styleId="913" w:customStyle="1">
    <w:name w:val=" Char"/>
    <w:basedOn w:val="649"/>
    <w:uiPriority w:val="0"/>
    <w:qFormat/>
    <w:pPr>
      <w:ind w:left="420" w:hanging="420"/>
      <w:jc w:val="left"/>
      <w:tabs>
        <w:tab w:val="left" w:pos="420" w:leader="none"/>
      </w:tabs>
    </w:pPr>
    <w:rPr>
      <w:szCs w:val="20"/>
    </w:rPr>
  </w:style>
  <w:style w:type="paragraph" w:styleId="914" w:customStyle="1">
    <w:name w:val="Char Char1 Char Char Char Char Char Char"/>
    <w:basedOn w:val="649"/>
    <w:uiPriority w:val="0"/>
    <w:qFormat/>
    <w:pPr>
      <w:jc w:val="center"/>
      <w:widowControl/>
    </w:pPr>
    <w:rPr>
      <w:rFonts w:ascii="宋体" w:hAnsi="宋体"/>
      <w:b/>
      <w:sz w:val="24"/>
      <w:lang w:eastAsia="en-US"/>
    </w:rPr>
  </w:style>
  <w:style w:type="paragraph" w:styleId="915" w:customStyle="1">
    <w:name w:val="样式1"/>
    <w:basedOn w:val="649"/>
    <w:uiPriority w:val="0"/>
    <w:qFormat/>
    <w:pPr>
      <w:numPr>
        <w:ilvl w:val="0"/>
        <w:numId w:val="1"/>
      </w:numPr>
      <w:tabs>
        <w:tab w:val="left" w:pos="1110" w:leader="none"/>
      </w:tabs>
    </w:pPr>
    <w:rPr>
      <w:rFonts w:ascii="宋体" w:hAnsi="宋体"/>
      <w:szCs w:val="21"/>
    </w:rPr>
  </w:style>
  <w:style w:type="paragraph" w:styleId="916" w:customStyle="1">
    <w:name w:val="Style11"/>
    <w:basedOn w:val="649"/>
    <w:uiPriority w:val="0"/>
    <w:qFormat/>
    <w:pPr>
      <w:jc w:val="left"/>
      <w:spacing w:line="446" w:lineRule="exact"/>
    </w:pPr>
    <w:rPr>
      <w:rFonts w:ascii="宋体"/>
      <w:sz w:val="24"/>
    </w:rPr>
  </w:style>
  <w:style w:type="paragraph" w:styleId="917" w:customStyle="1">
    <w:name w:val="文档正文"/>
    <w:basedOn w:val="649"/>
    <w:uiPriority w:val="0"/>
    <w:qFormat/>
    <w:pPr>
      <w:ind w:firstLine="567"/>
      <w:spacing w:line="480" w:lineRule="atLeast"/>
    </w:pPr>
    <w:rPr>
      <w:rFonts w:ascii="仿宋_GB2312"/>
      <w:szCs w:val="20"/>
    </w:rPr>
  </w:style>
  <w:style w:type="paragraph" w:styleId="918" w:customStyle="1">
    <w:name w:val="Char"/>
    <w:basedOn w:val="649"/>
    <w:uiPriority w:val="0"/>
    <w:qFormat/>
    <w:pPr>
      <w:tabs>
        <w:tab w:val="left" w:pos="360" w:leader="none"/>
      </w:tabs>
    </w:pPr>
    <w:rPr>
      <w:sz w:val="24"/>
    </w:rPr>
  </w:style>
  <w:style w:type="paragraph" w:styleId="919" w:customStyle="1">
    <w:name w:val="Char1"/>
    <w:basedOn w:val="649"/>
    <w:uiPriority w:val="0"/>
    <w:qFormat/>
    <w:pPr>
      <w:ind w:left="840" w:hanging="420"/>
      <w:tabs>
        <w:tab w:val="left" w:pos="840" w:leader="none"/>
      </w:tabs>
    </w:pPr>
    <w:rPr>
      <w:sz w:val="24"/>
    </w:rPr>
  </w:style>
  <w:style w:type="paragraph" w:styleId="920" w:customStyle="1">
    <w:name w:val="普通正文"/>
    <w:basedOn w:val="649"/>
    <w:uiPriority w:val="0"/>
    <w:qFormat/>
    <w:pPr>
      <w:ind w:firstLine="480"/>
      <w:jc w:val="left"/>
      <w:spacing w:before="120" w:after="120" w:line="360" w:lineRule="auto"/>
    </w:pPr>
    <w:rPr>
      <w:rFonts w:ascii="Arial" w:hAnsi="Arial"/>
      <w:sz w:val="24"/>
    </w:rPr>
  </w:style>
  <w:style w:type="paragraph" w:styleId="92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22" w:customStyle="1">
    <w:name w:val="正文文本1"/>
    <w:basedOn w:val="649"/>
    <w:next w:val="649"/>
    <w:uiPriority w:val="0"/>
    <w:qFormat/>
    <w:pPr>
      <w:jc w:val="center"/>
    </w:pPr>
    <w:rPr>
      <w:rFonts w:eastAsia="仿宋_GB2312"/>
      <w:sz w:val="28"/>
    </w:rPr>
  </w:style>
  <w:style w:type="table" w:styleId="923" w:customStyle="1">
    <w:name w:val="Table Normal"/>
    <w:uiPriority w:val="0"/>
    <w:unhideWhenUsed/>
    <w:qFormat/>
    <w:tblPr/>
  </w:style>
  <w:style w:type="paragraph" w:styleId="924" w:customStyle="1">
    <w:name w:val="null3"/>
    <w:hidden/>
    <w:uiPriority w:val="0"/>
    <w:qFormat/>
    <w:rPr>
      <w:rFonts w:hint="eastAsia" w:asciiTheme="minorHAnsi" w:hAnsiTheme="minorHAnsi" w:eastAsiaTheme="minorEastAsia" w:cstheme="minorBidi"/>
      <w:lang w:val="en-US" w:eastAsia="zh-Hans"/>
    </w:rPr>
  </w:style>
  <w:style w:type="numbering" w:styleId="15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HAws</cp:lastModifiedBy>
  <cp:revision>5</cp:revision>
  <dcterms:created xsi:type="dcterms:W3CDTF">2024-01-08T08:47:00Z</dcterms:created>
  <dcterms:modified xsi:type="dcterms:W3CDTF">2025-11-14T08:52:08Z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eyJoZGlkIjoiNTFjMjY5MGI5MjEwZTFhYjQ1ZDVhMGIwMDQ0MjM1NzciLCJ1c2VySWQiOiI2MzU2Njk2NTEifQ==</vt:lpwstr>
  </property>
  <property fmtid="{D5CDD505-2E9C-101B-9397-08002B2CF9AE}" pid="3" name="KSOProductBuildVer">
    <vt:lpwstr>2052-12.1.0.23542</vt:lpwstr>
  </property>
  <property fmtid="{D5CDD505-2E9C-101B-9397-08002B2CF9AE}" pid="4" name="ICV">
    <vt:lpwstr>33AE5A93AA194707A70EB3CB44778DE6_13</vt:lpwstr>
  </property>
</Properties>
</file>